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50F" w:rsidRPr="00D46AC8" w:rsidRDefault="0082350F" w:rsidP="0082350F">
      <w:pPr>
        <w:pStyle w:val="CRCoverPage"/>
        <w:tabs>
          <w:tab w:val="right" w:pos="9639"/>
        </w:tabs>
        <w:spacing w:after="0"/>
        <w:rPr>
          <w:b/>
          <w:noProof/>
          <w:sz w:val="24"/>
        </w:rPr>
      </w:pPr>
      <w:r w:rsidRPr="00D46AC8">
        <w:rPr>
          <w:b/>
          <w:noProof/>
          <w:sz w:val="24"/>
        </w:rPr>
        <w:t>3GPP TSG-RAN4 Meeting #</w:t>
      </w:r>
      <w:r>
        <w:rPr>
          <w:b/>
          <w:noProof/>
          <w:sz w:val="24"/>
        </w:rPr>
        <w:t>90bis</w:t>
      </w:r>
      <w:r w:rsidRPr="00D46AC8">
        <w:rPr>
          <w:b/>
          <w:noProof/>
          <w:sz w:val="24"/>
        </w:rPr>
        <w:t xml:space="preserve"> </w:t>
      </w:r>
      <w:r w:rsidRPr="00D46AC8">
        <w:rPr>
          <w:b/>
          <w:noProof/>
          <w:sz w:val="24"/>
        </w:rPr>
        <w:tab/>
      </w:r>
      <w:r w:rsidR="00D94358" w:rsidRPr="00D94358">
        <w:rPr>
          <w:b/>
          <w:noProof/>
          <w:sz w:val="24"/>
        </w:rPr>
        <w:t>R4-1902898</w:t>
      </w:r>
    </w:p>
    <w:p w:rsidR="0082350F" w:rsidRDefault="0082350F" w:rsidP="0082350F">
      <w:pPr>
        <w:pStyle w:val="Header"/>
        <w:jc w:val="both"/>
        <w:rPr>
          <w:sz w:val="24"/>
        </w:rPr>
      </w:pPr>
      <w:r>
        <w:rPr>
          <w:sz w:val="24"/>
        </w:rPr>
        <w:t>Xi’an, China, 8</w:t>
      </w:r>
      <w:r w:rsidRPr="00654D70">
        <w:rPr>
          <w:sz w:val="24"/>
          <w:vertAlign w:val="superscript"/>
        </w:rPr>
        <w:t>th</w:t>
      </w:r>
      <w:r>
        <w:rPr>
          <w:sz w:val="24"/>
        </w:rPr>
        <w:t>-12</w:t>
      </w:r>
      <w:r w:rsidRPr="00654D70">
        <w:rPr>
          <w:sz w:val="24"/>
          <w:vertAlign w:val="superscript"/>
        </w:rPr>
        <w:t>th</w:t>
      </w:r>
      <w:r>
        <w:rPr>
          <w:sz w:val="24"/>
        </w:rPr>
        <w:t xml:space="preserve"> April, 2019</w:t>
      </w:r>
    </w:p>
    <w:p w:rsidR="00CE539C" w:rsidRPr="0082350F" w:rsidRDefault="00CE539C" w:rsidP="0031288E">
      <w:pPr>
        <w:tabs>
          <w:tab w:val="left" w:pos="1985"/>
        </w:tabs>
        <w:spacing w:after="120"/>
        <w:jc w:val="both"/>
        <w:rPr>
          <w:rFonts w:ascii="Arial" w:hAnsi="Arial" w:cs="Arial"/>
          <w:b/>
          <w:sz w:val="22"/>
          <w:szCs w:val="22"/>
          <w:lang w:val="en-US"/>
        </w:rPr>
      </w:pP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B5748B">
        <w:rPr>
          <w:rFonts w:ascii="Arial" w:hAnsi="Arial" w:cs="Arial"/>
          <w:b/>
          <w:sz w:val="22"/>
          <w:szCs w:val="22"/>
        </w:rPr>
        <w:tab/>
      </w:r>
      <w:r w:rsidR="00D94358" w:rsidRPr="00D94358">
        <w:rPr>
          <w:rFonts w:ascii="Arial" w:hAnsi="Arial" w:cs="Arial"/>
          <w:b/>
          <w:sz w:val="22"/>
          <w:szCs w:val="22"/>
        </w:rPr>
        <w:t>6.10.6.2.2</w:t>
      </w:r>
    </w:p>
    <w:p w:rsidR="0031288E" w:rsidRPr="0031288E" w:rsidRDefault="0031288E" w:rsidP="005024D5">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5024D5">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2350F" w:rsidRPr="0082350F">
        <w:rPr>
          <w:rFonts w:ascii="Arial" w:hAnsi="Arial" w:cs="Arial"/>
          <w:b/>
          <w:sz w:val="22"/>
          <w:szCs w:val="22"/>
        </w:rPr>
        <w:t>Further discussion on MTTD and MRTD for intra-band contiguous EN-DC</w:t>
      </w: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31288E">
      <w:pPr>
        <w:pStyle w:val="Heading1"/>
        <w:numPr>
          <w:ilvl w:val="0"/>
          <w:numId w:val="1"/>
        </w:numPr>
        <w:pBdr>
          <w:top w:val="single" w:sz="12" w:space="2" w:color="auto"/>
        </w:pBdr>
        <w:rPr>
          <w:sz w:val="32"/>
        </w:rPr>
      </w:pPr>
      <w:r w:rsidRPr="00A137D5">
        <w:rPr>
          <w:sz w:val="32"/>
        </w:rPr>
        <w:t>Introduction</w:t>
      </w:r>
    </w:p>
    <w:p w:rsidR="00911FE8" w:rsidRDefault="0082350F" w:rsidP="0031288E">
      <w:pPr>
        <w:jc w:val="both"/>
        <w:rPr>
          <w:lang w:val="en-US" w:eastAsia="zh-CN"/>
        </w:rPr>
      </w:pPr>
      <w:r>
        <w:rPr>
          <w:lang w:val="en-US" w:eastAsia="zh-CN"/>
        </w:rPr>
        <w:t>In last RAN4 #</w:t>
      </w:r>
      <w:r w:rsidR="007A0429">
        <w:rPr>
          <w:lang w:val="en-US" w:eastAsia="zh-CN"/>
        </w:rPr>
        <w:t xml:space="preserve">90 meeting, we had some discussion on MTTD requirement for intra-band EN-DC in [1], but no conclusion was made. </w:t>
      </w:r>
      <w:r w:rsidR="00E23D5D">
        <w:rPr>
          <w:lang w:val="en-US" w:eastAsia="zh-CN"/>
        </w:rPr>
        <w:t xml:space="preserve">In </w:t>
      </w:r>
      <w:r w:rsidR="005939B5">
        <w:rPr>
          <w:lang w:val="en-US" w:eastAsia="zh-CN"/>
        </w:rPr>
        <w:t>t</w:t>
      </w:r>
      <w:r w:rsidR="00EC2C55">
        <w:rPr>
          <w:lang w:val="en-US" w:eastAsia="zh-CN"/>
        </w:rPr>
        <w:t>his contribution</w:t>
      </w:r>
      <w:r w:rsidR="005939B5">
        <w:rPr>
          <w:lang w:val="en-US" w:eastAsia="zh-CN"/>
        </w:rPr>
        <w:t>, we</w:t>
      </w:r>
      <w:r w:rsidR="00EC2C55">
        <w:rPr>
          <w:lang w:val="en-US" w:eastAsia="zh-CN"/>
        </w:rPr>
        <w:t xml:space="preserve"> </w:t>
      </w:r>
      <w:r w:rsidR="007A0429">
        <w:rPr>
          <w:lang w:val="en-US" w:eastAsia="zh-CN"/>
        </w:rPr>
        <w:t>continue the discussion</w:t>
      </w:r>
      <w:r w:rsidR="00EC2C55">
        <w:rPr>
          <w:lang w:val="en-US" w:eastAsia="zh-CN"/>
        </w:rPr>
        <w:t xml:space="preserve"> on the</w:t>
      </w:r>
      <w:r w:rsidR="00D9761B">
        <w:rPr>
          <w:lang w:val="en-US" w:eastAsia="zh-CN"/>
        </w:rPr>
        <w:t xml:space="preserve"> </w:t>
      </w:r>
      <w:r w:rsidR="005939B5">
        <w:rPr>
          <w:lang w:val="en-US" w:eastAsia="zh-CN"/>
        </w:rPr>
        <w:t>MTTD</w:t>
      </w:r>
      <w:r w:rsidR="00416763">
        <w:rPr>
          <w:lang w:val="en-US" w:eastAsia="zh-CN"/>
        </w:rPr>
        <w:t xml:space="preserve"> and MRTD</w:t>
      </w:r>
      <w:r w:rsidR="005939B5">
        <w:rPr>
          <w:lang w:val="en-US" w:eastAsia="zh-CN"/>
        </w:rPr>
        <w:t xml:space="preserve"> requirement</w:t>
      </w:r>
      <w:r w:rsidR="00D9761B">
        <w:rPr>
          <w:lang w:val="en-US" w:eastAsia="zh-CN"/>
        </w:rPr>
        <w:t xml:space="preserve"> </w:t>
      </w:r>
      <w:r w:rsidR="005939B5">
        <w:rPr>
          <w:lang w:val="en-US" w:eastAsia="zh-CN"/>
        </w:rPr>
        <w:t xml:space="preserve">for </w:t>
      </w:r>
      <w:r w:rsidR="005939B5" w:rsidRPr="005939B5">
        <w:rPr>
          <w:lang w:val="en-US" w:eastAsia="zh-CN"/>
        </w:rPr>
        <w:t>intra-band EN-DC</w:t>
      </w:r>
      <w:r w:rsidR="00416763">
        <w:rPr>
          <w:lang w:val="en-US" w:eastAsia="zh-CN"/>
        </w:rPr>
        <w:t xml:space="preserve"> and also</w:t>
      </w:r>
      <w:r w:rsidR="00E23D5D">
        <w:rPr>
          <w:lang w:val="en-US" w:eastAsia="zh-CN"/>
        </w:rPr>
        <w:t xml:space="preserve"> answer Question 3 in RAN2 LS [</w:t>
      </w:r>
      <w:r w:rsidR="00416763">
        <w:rPr>
          <w:lang w:val="en-US" w:eastAsia="zh-CN"/>
        </w:rPr>
        <w:t>2</w:t>
      </w:r>
      <w:r w:rsidR="00E23D5D">
        <w:rPr>
          <w:lang w:val="en-US" w:eastAsia="zh-CN"/>
        </w:rPr>
        <w:t>]</w:t>
      </w:r>
      <w:r w:rsidR="00EC2C55">
        <w:rPr>
          <w:lang w:val="en-US" w:eastAsia="zh-CN"/>
        </w:rPr>
        <w:t>.</w:t>
      </w:r>
    </w:p>
    <w:p w:rsidR="003C3E7A" w:rsidRDefault="00FA0E51" w:rsidP="003C3E7A">
      <w:pPr>
        <w:pStyle w:val="Heading1"/>
        <w:numPr>
          <w:ilvl w:val="0"/>
          <w:numId w:val="1"/>
        </w:numPr>
        <w:tabs>
          <w:tab w:val="num" w:pos="45"/>
        </w:tabs>
        <w:ind w:left="405"/>
        <w:rPr>
          <w:rFonts w:eastAsia="SimSun"/>
          <w:sz w:val="32"/>
          <w:szCs w:val="32"/>
        </w:rPr>
      </w:pPr>
      <w:r>
        <w:rPr>
          <w:rFonts w:eastAsia="SimSun"/>
          <w:sz w:val="32"/>
          <w:szCs w:val="32"/>
        </w:rPr>
        <w:t>Discussion</w:t>
      </w:r>
    </w:p>
    <w:p w:rsidR="008F0B58" w:rsidRPr="008F0B58" w:rsidRDefault="008F0B58" w:rsidP="008F0B58">
      <w:pPr>
        <w:pStyle w:val="ListParagraph"/>
        <w:numPr>
          <w:ilvl w:val="0"/>
          <w:numId w:val="45"/>
        </w:numPr>
        <w:ind w:firstLineChars="0"/>
        <w:rPr>
          <w:lang w:eastAsia="zh-CN"/>
        </w:rPr>
      </w:pPr>
      <w:r>
        <w:rPr>
          <w:lang w:eastAsia="zh-CN"/>
        </w:rPr>
        <w:t>MTTD</w:t>
      </w:r>
    </w:p>
    <w:p w:rsidR="00AE0DC5" w:rsidRDefault="00CF4314" w:rsidP="00AE0DC5">
      <w:pPr>
        <w:jc w:val="both"/>
      </w:pPr>
      <w:r>
        <w:rPr>
          <w:lang w:val="en-US" w:eastAsia="zh-CN"/>
        </w:rPr>
        <w:t xml:space="preserve">For intra-band EN-DC, </w:t>
      </w:r>
      <w:r w:rsidR="00AE0DC5">
        <w:rPr>
          <w:lang w:val="en-US" w:eastAsia="zh-CN"/>
        </w:rPr>
        <w:t>especially</w:t>
      </w:r>
      <w:r w:rsidR="00AE0DC5">
        <w:rPr>
          <w:lang w:val="en-US" w:eastAsia="ja-JP"/>
        </w:rPr>
        <w:t xml:space="preserve"> for</w:t>
      </w:r>
      <w:r>
        <w:rPr>
          <w:lang w:val="en-US" w:eastAsia="ja-JP"/>
        </w:rPr>
        <w:t xml:space="preserve"> contiguous case,</w:t>
      </w:r>
      <w:r w:rsidRPr="00CF4314">
        <w:rPr>
          <w:lang w:val="en-US" w:eastAsia="ja-JP"/>
        </w:rPr>
        <w:t xml:space="preserve"> </w:t>
      </w:r>
      <w:r w:rsidR="00AE0DC5">
        <w:rPr>
          <w:lang w:val="en-US" w:eastAsia="zh-CN"/>
        </w:rPr>
        <w:t>we</w:t>
      </w:r>
      <w:r w:rsidR="0086045A" w:rsidRPr="00CF4314">
        <w:rPr>
          <w:lang w:eastAsia="zh-CN"/>
        </w:rPr>
        <w:t xml:space="preserve"> </w:t>
      </w:r>
      <w:r>
        <w:rPr>
          <w:lang w:eastAsia="zh-CN"/>
        </w:rPr>
        <w:t>should</w:t>
      </w:r>
      <w:r w:rsidR="0086045A" w:rsidRPr="00CF4314">
        <w:rPr>
          <w:lang w:eastAsia="zh-CN"/>
        </w:rPr>
        <w:t xml:space="preserve"> </w:t>
      </w:r>
      <w:r>
        <w:rPr>
          <w:lang w:eastAsia="zh-CN"/>
        </w:rPr>
        <w:t xml:space="preserve">allow </w:t>
      </w:r>
      <w:r w:rsidR="0086045A" w:rsidRPr="00CF4314">
        <w:rPr>
          <w:lang w:eastAsia="zh-CN"/>
        </w:rPr>
        <w:t xml:space="preserve">UE to </w:t>
      </w:r>
      <w:r w:rsidR="00B07A0F" w:rsidRPr="00CF4314">
        <w:rPr>
          <w:lang w:eastAsia="zh-CN"/>
        </w:rPr>
        <w:t xml:space="preserve">support </w:t>
      </w:r>
      <w:r w:rsidR="0086045A" w:rsidRPr="00CF4314">
        <w:rPr>
          <w:lang w:eastAsia="zh-CN"/>
        </w:rPr>
        <w:t>single</w:t>
      </w:r>
      <w:r w:rsidR="00B07A0F" w:rsidRPr="00CF4314">
        <w:rPr>
          <w:lang w:eastAsia="zh-CN"/>
        </w:rPr>
        <w:t xml:space="preserve"> UL timing</w:t>
      </w:r>
      <w:r w:rsidR="00AE0DC5">
        <w:rPr>
          <w:lang w:eastAsia="zh-CN"/>
        </w:rPr>
        <w:t xml:space="preserve"> if single PA is assumed</w:t>
      </w:r>
      <w:r w:rsidR="00B07A0F" w:rsidRPr="00CF4314">
        <w:rPr>
          <w:lang w:eastAsia="zh-CN"/>
        </w:rPr>
        <w:t>, even</w:t>
      </w:r>
      <w:r w:rsidR="0086045A" w:rsidRPr="00CF4314">
        <w:rPr>
          <w:lang w:eastAsia="zh-CN"/>
        </w:rPr>
        <w:t xml:space="preserve"> </w:t>
      </w:r>
      <w:r>
        <w:rPr>
          <w:lang w:eastAsia="zh-CN"/>
        </w:rPr>
        <w:t>though</w:t>
      </w:r>
      <w:r w:rsidR="0086045A" w:rsidRPr="00CF4314">
        <w:rPr>
          <w:lang w:eastAsia="zh-CN"/>
        </w:rPr>
        <w:t xml:space="preserve"> the network </w:t>
      </w:r>
      <w:r w:rsidR="00B07A0F" w:rsidRPr="00CF4314">
        <w:rPr>
          <w:lang w:eastAsia="zh-CN"/>
        </w:rPr>
        <w:t>configure</w:t>
      </w:r>
      <w:r w:rsidR="0086045A" w:rsidRPr="00CF4314">
        <w:rPr>
          <w:lang w:eastAsia="zh-CN"/>
        </w:rPr>
        <w:t>s</w:t>
      </w:r>
      <w:r w:rsidR="00B07A0F" w:rsidRPr="00CF4314">
        <w:rPr>
          <w:lang w:eastAsia="zh-CN"/>
        </w:rPr>
        <w:t xml:space="preserve"> two separate TAGs</w:t>
      </w:r>
      <w:r>
        <w:rPr>
          <w:lang w:eastAsia="zh-CN"/>
        </w:rPr>
        <w:t xml:space="preserve"> for LTE and NR cell</w:t>
      </w:r>
      <w:r w:rsidR="0086045A" w:rsidRPr="00CF4314">
        <w:rPr>
          <w:lang w:eastAsia="zh-CN"/>
        </w:rPr>
        <w:t xml:space="preserve">. </w:t>
      </w:r>
      <w:r w:rsidR="00AE0DC5">
        <w:rPr>
          <w:lang w:eastAsia="zh-CN"/>
        </w:rPr>
        <w:t>For instance, for</w:t>
      </w:r>
      <w:r w:rsidR="00113211">
        <w:rPr>
          <w:lang w:eastAsia="zh-CN"/>
        </w:rPr>
        <w:t xml:space="preserve"> band </w:t>
      </w:r>
      <w:r w:rsidR="00113211" w:rsidRPr="00AE4694">
        <w:t>DC</w:t>
      </w:r>
      <w:r w:rsidR="00AE0DC5" w:rsidRPr="00AE4694">
        <w:t xml:space="preserve"> </w:t>
      </w:r>
      <w:r w:rsidR="00113211" w:rsidRPr="00AE4694">
        <w:t>(n)71</w:t>
      </w:r>
      <w:r w:rsidR="00113211">
        <w:t>, only single PA architecture is applicable</w:t>
      </w:r>
      <w:r w:rsidR="00AE0DC5">
        <w:t>, and i</w:t>
      </w:r>
      <w:r w:rsidR="00113211">
        <w:t xml:space="preserve">t is more reasonable for UE to support single UL timing in this case. </w:t>
      </w:r>
      <w:r w:rsidR="00AE0DC5">
        <w:t>However</w:t>
      </w:r>
      <w:r w:rsidR="00113211">
        <w:t xml:space="preserve"> if MTTD is </w:t>
      </w:r>
      <w:r w:rsidR="00AE0DC5">
        <w:t xml:space="preserve">specified </w:t>
      </w:r>
      <w:r w:rsidR="00113211">
        <w:t xml:space="preserve">larger than </w:t>
      </w:r>
      <w:r w:rsidR="00AE0DC5">
        <w:t xml:space="preserve">0, </w:t>
      </w:r>
      <w:r w:rsidR="00154DAC">
        <w:t xml:space="preserve">it is impossible for UE to </w:t>
      </w:r>
      <w:r w:rsidR="00AE0DC5">
        <w:t>maintain two timings with one PA</w:t>
      </w:r>
      <w:r w:rsidR="00154DAC">
        <w:t>.</w:t>
      </w:r>
    </w:p>
    <w:p w:rsidR="00154DAC" w:rsidRDefault="00AE0DC5" w:rsidP="00AE0DC5">
      <w:pPr>
        <w:jc w:val="both"/>
      </w:pPr>
      <w:r>
        <w:t xml:space="preserve">In last meeting, companies also mentioned that MTTD calculation shall be based on MRTD plus the UL transmission, and in that sense they got 5.21us for MTTD, however, it is not a feasible calculation for single PA case because single PA only maintain single timing for CCs. In our understanding, as long as single PA is assumed, 0 could be the real UL timing difference among CCs from UE side. </w:t>
      </w:r>
    </w:p>
    <w:p w:rsidR="008C1ABA" w:rsidRDefault="00154DAC" w:rsidP="00AE0DC5">
      <w:pPr>
        <w:jc w:val="both"/>
      </w:pPr>
      <w:r>
        <w:t xml:space="preserve">Furthermore, </w:t>
      </w:r>
      <w:r w:rsidR="000F599E">
        <w:t xml:space="preserve">in our understanding </w:t>
      </w:r>
      <w:r>
        <w:t xml:space="preserve">it is </w:t>
      </w:r>
      <w:r w:rsidR="000F599E">
        <w:t>not</w:t>
      </w:r>
      <w:r>
        <w:t xml:space="preserve"> </w:t>
      </w:r>
      <w:r w:rsidR="008F0B58">
        <w:t xml:space="preserve">much </w:t>
      </w:r>
      <w:r w:rsidR="000F599E">
        <w:t>beneficial</w:t>
      </w:r>
      <w:r>
        <w:t xml:space="preserve"> for network if multiple UL timing is used in intra-band EN-DC.</w:t>
      </w:r>
      <w:r w:rsidR="008C1ABA">
        <w:t xml:space="preserve"> </w:t>
      </w:r>
      <w:r>
        <w:t xml:space="preserve">Since only co-located deployment is applicable for </w:t>
      </w:r>
      <w:r w:rsidR="000F599E">
        <w:t>intra-band NE-DC</w:t>
      </w:r>
      <w:r>
        <w:t xml:space="preserve">, </w:t>
      </w:r>
      <w:r w:rsidR="000F599E">
        <w:t>the propagation delay is same on PCC and PSCC</w:t>
      </w:r>
      <w:r w:rsidR="008F0B58">
        <w:t xml:space="preserve"> and then </w:t>
      </w:r>
      <w:r w:rsidR="000F599E">
        <w:t>the estimation error</w:t>
      </w:r>
      <w:r w:rsidR="008F0B58">
        <w:t xml:space="preserve"> (2.21us)</w:t>
      </w:r>
      <w:r w:rsidR="000F599E">
        <w:t xml:space="preserve"> introduced at UE side </w:t>
      </w:r>
      <w:r w:rsidR="008F0B58">
        <w:t>will directly impact</w:t>
      </w:r>
      <w:r w:rsidR="000F599E">
        <w:t xml:space="preserve"> the NW reception performance. </w:t>
      </w:r>
      <w:r w:rsidR="008F0B58">
        <w:t>For instance, t</w:t>
      </w:r>
      <w:r>
        <w:t xml:space="preserve">he </w:t>
      </w:r>
      <w:r w:rsidR="000F599E">
        <w:t xml:space="preserve">MRTD </w:t>
      </w:r>
      <w:r w:rsidR="008F0B58">
        <w:t xml:space="preserve">is 3us at UE side which </w:t>
      </w:r>
      <w:r>
        <w:t xml:space="preserve">comes from the timing </w:t>
      </w:r>
      <w:r w:rsidR="000F599E">
        <w:t xml:space="preserve">synchronization </w:t>
      </w:r>
      <w:r>
        <w:t>error between gNB and eNB</w:t>
      </w:r>
      <w:r w:rsidR="008F0B58">
        <w:t>, and</w:t>
      </w:r>
      <w:r w:rsidR="000F599E">
        <w:t xml:space="preserve"> if considering</w:t>
      </w:r>
      <w:r>
        <w:t xml:space="preserve"> multiple UL timing</w:t>
      </w:r>
      <w:r w:rsidR="000F599E">
        <w:t xml:space="preserve"> from UE</w:t>
      </w:r>
      <w:r>
        <w:t xml:space="preserve">, MTTD </w:t>
      </w:r>
      <w:r w:rsidR="000F599E">
        <w:t>is as large as</w:t>
      </w:r>
      <w:r>
        <w:t xml:space="preserve"> 5.21</w:t>
      </w:r>
      <w:r w:rsidR="008F0B58">
        <w:t>u</w:t>
      </w:r>
      <w:r>
        <w:t>s</w:t>
      </w:r>
      <w:r w:rsidR="008F0B58">
        <w:t>(</w:t>
      </w:r>
      <w:r>
        <w:t>the additional timing error introduced by U</w:t>
      </w:r>
      <w:r w:rsidR="008C1ABA">
        <w:t>E</w:t>
      </w:r>
      <w:r>
        <w:t xml:space="preserve"> is 2.21</w:t>
      </w:r>
      <w:r w:rsidR="008F0B58">
        <w:t>u</w:t>
      </w:r>
      <w:r>
        <w:t>s</w:t>
      </w:r>
      <w:r w:rsidR="008F0B58">
        <w:t>)</w:t>
      </w:r>
      <w:r>
        <w:t xml:space="preserve">. With single UL timing, the timing error </w:t>
      </w:r>
      <w:r w:rsidR="008C1ABA">
        <w:t xml:space="preserve">introduced by UE is </w:t>
      </w:r>
      <w:r>
        <w:t>3</w:t>
      </w:r>
      <w:r w:rsidR="008F0B58">
        <w:t>u</w:t>
      </w:r>
      <w:r>
        <w:t xml:space="preserve">s. </w:t>
      </w:r>
      <w:r w:rsidR="008C1ABA">
        <w:t>There should be not much difference in system performance between single timing and multiple</w:t>
      </w:r>
      <w:r w:rsidR="008F0B58">
        <w:t xml:space="preserve"> timings</w:t>
      </w:r>
      <w:r w:rsidR="008C1ABA">
        <w:t xml:space="preserve"> for intra-band EN-DC.</w:t>
      </w:r>
      <w:r>
        <w:t xml:space="preserve">    </w:t>
      </w:r>
    </w:p>
    <w:p w:rsidR="002B1AF3" w:rsidRDefault="008F0B58" w:rsidP="00AE0DC5">
      <w:pPr>
        <w:jc w:val="both"/>
        <w:rPr>
          <w:lang w:val="en-US" w:eastAsia="zh-CN"/>
        </w:rPr>
      </w:pPr>
      <w:r>
        <w:rPr>
          <w:lang w:eastAsia="zh-CN"/>
        </w:rPr>
        <w:t>On the other hand, i</w:t>
      </w:r>
      <w:r w:rsidR="008C1ABA">
        <w:rPr>
          <w:lang w:eastAsia="zh-CN"/>
        </w:rPr>
        <w:t>n current TS38.133,</w:t>
      </w:r>
      <w:r w:rsidR="008C1ABA" w:rsidRPr="008C1ABA">
        <w:rPr>
          <w:lang w:eastAsia="zh-CN"/>
        </w:rPr>
        <w:t xml:space="preserve"> </w:t>
      </w:r>
      <w:r w:rsidR="008C1ABA">
        <w:rPr>
          <w:lang w:eastAsia="zh-CN"/>
        </w:rPr>
        <w:t>no</w:t>
      </w:r>
      <w:r w:rsidR="008C1ABA" w:rsidRPr="008C1ABA">
        <w:rPr>
          <w:lang w:eastAsia="zh-CN"/>
        </w:rPr>
        <w:t xml:space="preserve"> requirement </w:t>
      </w:r>
      <w:r w:rsidR="008C1ABA">
        <w:rPr>
          <w:lang w:eastAsia="zh-CN"/>
        </w:rPr>
        <w:t xml:space="preserve">is defined </w:t>
      </w:r>
      <w:r w:rsidR="008C1ABA" w:rsidRPr="008C1ABA">
        <w:rPr>
          <w:lang w:eastAsia="zh-CN"/>
        </w:rPr>
        <w:t xml:space="preserve">on MTTD </w:t>
      </w:r>
      <w:r w:rsidR="008C1ABA">
        <w:rPr>
          <w:lang w:eastAsia="zh-CN"/>
        </w:rPr>
        <w:t>for intra-band EN-DC due to the fact</w:t>
      </w:r>
      <w:r w:rsidR="008C1ABA" w:rsidRPr="008C1ABA">
        <w:rPr>
          <w:lang w:eastAsia="zh-CN"/>
        </w:rPr>
        <w:t xml:space="preserve"> MTTD </w:t>
      </w:r>
      <w:r w:rsidR="008C1ABA">
        <w:rPr>
          <w:lang w:eastAsia="zh-CN"/>
        </w:rPr>
        <w:t xml:space="preserve">is very small. </w:t>
      </w:r>
      <w:r>
        <w:rPr>
          <w:lang w:eastAsia="zh-CN"/>
        </w:rPr>
        <w:t xml:space="preserve">Even though RAN4 experts understand that “no requirement on MTTD” means MTTD is very small, but it </w:t>
      </w:r>
      <w:r w:rsidR="008C1ABA">
        <w:rPr>
          <w:lang w:eastAsia="zh-CN"/>
        </w:rPr>
        <w:t>may</w:t>
      </w:r>
      <w:r w:rsidR="008C1ABA" w:rsidRPr="008C1ABA">
        <w:rPr>
          <w:lang w:eastAsia="zh-CN"/>
        </w:rPr>
        <w:t xml:space="preserve"> cause confusion to </w:t>
      </w:r>
      <w:r>
        <w:rPr>
          <w:lang w:eastAsia="zh-CN"/>
        </w:rPr>
        <w:t>the ones outside RAN4 (e.g. RAN1/2)</w:t>
      </w:r>
      <w:r w:rsidR="008C1ABA" w:rsidRPr="008C1ABA">
        <w:rPr>
          <w:lang w:eastAsia="zh-CN"/>
        </w:rPr>
        <w:t xml:space="preserve">. </w:t>
      </w:r>
      <w:r w:rsidR="008C1ABA">
        <w:rPr>
          <w:lang w:val="en-US" w:eastAsia="zh-CN"/>
        </w:rPr>
        <w:t xml:space="preserve">Thus, </w:t>
      </w:r>
      <w:r>
        <w:rPr>
          <w:lang w:val="en-US" w:eastAsia="zh-CN"/>
        </w:rPr>
        <w:t>we still think the requirement for MTTD in intra-band EN-DC is needed</w:t>
      </w:r>
      <w:r w:rsidR="008C1ABA">
        <w:rPr>
          <w:lang w:val="en-US" w:eastAsia="zh-CN"/>
        </w:rPr>
        <w:t xml:space="preserve">. </w:t>
      </w:r>
    </w:p>
    <w:p w:rsidR="002B1AF3" w:rsidRDefault="002B1AF3" w:rsidP="00AE0DC5">
      <w:pPr>
        <w:jc w:val="both"/>
        <w:rPr>
          <w:lang w:val="en-US" w:eastAsia="zh-CN"/>
        </w:rPr>
      </w:pPr>
      <w:r>
        <w:rPr>
          <w:lang w:val="en-US" w:eastAsia="zh-CN"/>
        </w:rPr>
        <w:t>Based on the discussion in last meeting, we can also accept to introduce capability indication to support different UE implementations, which means MTTD=5.21us and single UL timing can be differentiated by using this capability signaling.</w:t>
      </w:r>
    </w:p>
    <w:p w:rsidR="008F0B58" w:rsidRPr="008F0B58" w:rsidRDefault="008F0B58" w:rsidP="008F0B58">
      <w:pPr>
        <w:pStyle w:val="ListParagraph"/>
        <w:numPr>
          <w:ilvl w:val="0"/>
          <w:numId w:val="45"/>
        </w:numPr>
        <w:ind w:firstLineChars="0"/>
        <w:rPr>
          <w:lang w:eastAsia="zh-CN"/>
        </w:rPr>
      </w:pPr>
      <w:r>
        <w:rPr>
          <w:lang w:eastAsia="zh-CN"/>
        </w:rPr>
        <w:t>M</w:t>
      </w:r>
      <w:r>
        <w:rPr>
          <w:lang w:val="en-US" w:eastAsia="zh-CN"/>
        </w:rPr>
        <w:t>R</w:t>
      </w:r>
      <w:r>
        <w:rPr>
          <w:lang w:eastAsia="zh-CN"/>
        </w:rPr>
        <w:t>TD</w:t>
      </w:r>
    </w:p>
    <w:p w:rsidR="008F0B58" w:rsidRPr="00E43836" w:rsidRDefault="002B1AF3" w:rsidP="00AE0DC5">
      <w:pPr>
        <w:jc w:val="both"/>
        <w:rPr>
          <w:lang w:val="en-US" w:eastAsia="zh-CN"/>
        </w:rPr>
      </w:pPr>
      <w:r>
        <w:rPr>
          <w:lang w:val="en-US" w:eastAsia="zh-CN"/>
        </w:rPr>
        <w:t xml:space="preserve">Regarding 15kHz+15kHz case in intra-band EN-DC, UE may use single FFT for both LTE and NR signal operation, and in that sense if the MRTD is as large as 3us(larger than half CP in SCS=15kHz), it implies to preclude such implementation at UE side. So we need to also keep a smaller MRTD in the requirement based on UE capability indication. </w:t>
      </w:r>
    </w:p>
    <w:p w:rsidR="008C789E" w:rsidRPr="008C789E" w:rsidRDefault="008C789E" w:rsidP="00AE0DC5">
      <w:pPr>
        <w:pStyle w:val="ListParagraph"/>
        <w:numPr>
          <w:ilvl w:val="0"/>
          <w:numId w:val="30"/>
        </w:numPr>
        <w:ind w:firstLineChars="0"/>
        <w:jc w:val="both"/>
        <w:rPr>
          <w:vanish/>
          <w:lang w:eastAsia="zh-CN"/>
        </w:rPr>
      </w:pPr>
    </w:p>
    <w:p w:rsidR="001E019D" w:rsidRPr="001E019D" w:rsidRDefault="001E019D" w:rsidP="001E019D">
      <w:pPr>
        <w:pStyle w:val="ListParagraph"/>
        <w:numPr>
          <w:ilvl w:val="0"/>
          <w:numId w:val="45"/>
        </w:numPr>
        <w:ind w:firstLineChars="0"/>
        <w:rPr>
          <w:lang w:eastAsia="zh-CN"/>
        </w:rPr>
      </w:pPr>
      <w:r>
        <w:rPr>
          <w:lang w:val="en-US" w:eastAsia="zh-CN"/>
        </w:rPr>
        <w:t>Signaling for UE capability indication</w:t>
      </w:r>
    </w:p>
    <w:p w:rsidR="001E019D" w:rsidRDefault="001E019D" w:rsidP="001E019D">
      <w:pPr>
        <w:rPr>
          <w:lang w:eastAsia="zh-CN"/>
        </w:rPr>
      </w:pPr>
      <w:r>
        <w:rPr>
          <w:lang w:eastAsia="zh-CN"/>
        </w:rPr>
        <w:t xml:space="preserve">In order to indicate the UE capability of supporting dual timing or single timing for intra-band EN-DC case, we found </w:t>
      </w:r>
      <w:r w:rsidR="002C3E0E">
        <w:rPr>
          <w:lang w:eastAsia="zh-CN"/>
        </w:rPr>
        <w:t>the</w:t>
      </w:r>
      <w:r>
        <w:rPr>
          <w:lang w:eastAsia="zh-CN"/>
        </w:rPr>
        <w:t xml:space="preserve"> </w:t>
      </w:r>
      <w:r w:rsidR="002D25AB">
        <w:rPr>
          <w:lang w:eastAsia="zh-CN"/>
        </w:rPr>
        <w:t>relevant</w:t>
      </w:r>
      <w:r>
        <w:rPr>
          <w:lang w:eastAsia="zh-CN"/>
        </w:rPr>
        <w:t xml:space="preserve"> signalling</w:t>
      </w:r>
      <w:r w:rsidR="002C3E0E">
        <w:rPr>
          <w:lang w:eastAsia="zh-CN"/>
        </w:rPr>
        <w:t>,</w:t>
      </w:r>
    </w:p>
    <w:p w:rsidR="001E019D" w:rsidRPr="001E019D" w:rsidRDefault="001E019D" w:rsidP="001E019D">
      <w:pPr>
        <w:pStyle w:val="TAL"/>
        <w:rPr>
          <w:b/>
          <w:i/>
          <w:highlight w:val="yellow"/>
        </w:rPr>
      </w:pPr>
      <w:r w:rsidRPr="001E019D">
        <w:rPr>
          <w:b/>
          <w:i/>
          <w:highlight w:val="yellow"/>
        </w:rPr>
        <w:lastRenderedPageBreak/>
        <w:t>ul-TimingAlignmentEUTRA-NR</w:t>
      </w:r>
    </w:p>
    <w:p w:rsidR="001E019D" w:rsidRPr="008F0B58" w:rsidRDefault="001E019D" w:rsidP="001E019D">
      <w:pPr>
        <w:rPr>
          <w:lang w:eastAsia="zh-CN"/>
        </w:rPr>
      </w:pPr>
      <w:r w:rsidRPr="001E019D">
        <w:rPr>
          <w:highlight w:val="yellow"/>
        </w:rPr>
        <w:t>Indicates whether to apply the same UL timing between NR and LTE for dynamic power sharing capable UE operating in intra-band contiguous synchronous EN-DC. If this field is absent, UE should be able to operate with a timing difference up to applicable MTTD requirements when operating in a synchronous intra-band contiguous EN-DC network.</w:t>
      </w:r>
    </w:p>
    <w:p w:rsidR="00D7261A" w:rsidRDefault="00D7261A" w:rsidP="00EC2C55">
      <w:pPr>
        <w:jc w:val="both"/>
      </w:pPr>
      <w:r w:rsidRPr="00D7261A">
        <w:rPr>
          <w:i/>
        </w:rPr>
        <w:t>ul-TimingAlignmentEUTRA-NR</w:t>
      </w:r>
      <w:r>
        <w:rPr>
          <w:i/>
        </w:rPr>
        <w:t xml:space="preserve"> </w:t>
      </w:r>
      <w:r w:rsidRPr="00D7261A">
        <w:t>has the most straightforward defin</w:t>
      </w:r>
      <w:r>
        <w:t>it</w:t>
      </w:r>
      <w:r w:rsidRPr="00D7261A">
        <w:t>ion</w:t>
      </w:r>
      <w:r>
        <w:t xml:space="preserve"> related with timing</w:t>
      </w:r>
      <w:r w:rsidR="00610827">
        <w:t>, and RAN1 also had some discussion on the applicability of this signalling and we think the concern of single timing capability is only on intra-band contiguous EN-DC and DPS capable UE</w:t>
      </w:r>
      <w:r w:rsidR="002D25AB">
        <w:t xml:space="preserve">.  </w:t>
      </w:r>
    </w:p>
    <w:p w:rsidR="002D25AB" w:rsidRDefault="002D25AB" w:rsidP="00610827">
      <w:pPr>
        <w:jc w:val="both"/>
      </w:pPr>
      <w:r>
        <w:t xml:space="preserve">Based on the discussion above, </w:t>
      </w:r>
      <w:r w:rsidR="00610827">
        <w:t>we propose that,</w:t>
      </w:r>
    </w:p>
    <w:p w:rsidR="002D25AB" w:rsidRDefault="002D25AB" w:rsidP="00EC2C55">
      <w:pPr>
        <w:jc w:val="both"/>
        <w:rPr>
          <w:b/>
          <w:i/>
        </w:rPr>
      </w:pPr>
      <w:r w:rsidRPr="002D25AB">
        <w:rPr>
          <w:b/>
          <w:i/>
        </w:rPr>
        <w:t>Proposal</w:t>
      </w:r>
      <w:r>
        <w:rPr>
          <w:b/>
          <w:i/>
        </w:rPr>
        <w:t xml:space="preserve"> 1</w:t>
      </w:r>
      <w:r w:rsidRPr="002D25AB">
        <w:rPr>
          <w:b/>
          <w:i/>
        </w:rPr>
        <w:t xml:space="preserve">: use </w:t>
      </w:r>
      <w:r w:rsidR="00610827" w:rsidRPr="00610827">
        <w:rPr>
          <w:b/>
          <w:i/>
        </w:rPr>
        <w:t>ul-TimingAlignmentEUTRA-NR</w:t>
      </w:r>
      <w:r w:rsidRPr="002D25AB">
        <w:rPr>
          <w:b/>
          <w:i/>
        </w:rPr>
        <w:t xml:space="preserve"> to indicate the UE capability of supporting single UL timing or different UL timing in intra-band </w:t>
      </w:r>
      <w:r w:rsidR="00610827">
        <w:rPr>
          <w:b/>
          <w:i/>
        </w:rPr>
        <w:t xml:space="preserve">contiguous </w:t>
      </w:r>
      <w:r w:rsidRPr="002D25AB">
        <w:rPr>
          <w:b/>
          <w:i/>
        </w:rPr>
        <w:t>EN-DC</w:t>
      </w:r>
      <w:r>
        <w:rPr>
          <w:b/>
          <w:i/>
        </w:rPr>
        <w:t>.</w:t>
      </w:r>
    </w:p>
    <w:p w:rsidR="002D25AB" w:rsidRDefault="002D25AB" w:rsidP="00EC2C55">
      <w:pPr>
        <w:jc w:val="both"/>
      </w:pPr>
      <w:r w:rsidRPr="00AD1B3B">
        <w:t>Based on this signalling</w:t>
      </w:r>
      <w:r w:rsidR="00AD1B3B">
        <w:t>, then we propose to revise the MTTD and MRTD requirement as below,</w:t>
      </w:r>
    </w:p>
    <w:p w:rsidR="00AD1B3B" w:rsidRPr="00AD1B3B" w:rsidRDefault="00AD1B3B" w:rsidP="00EC2C55">
      <w:pPr>
        <w:jc w:val="both"/>
        <w:rPr>
          <w:b/>
          <w:i/>
        </w:rPr>
      </w:pPr>
      <w:r w:rsidRPr="00AD1B3B">
        <w:rPr>
          <w:b/>
          <w:i/>
        </w:rPr>
        <w:t>Proposal 2: The MTTD and MRTD requirements for intra-band synchronous EN-DC are defined in RAN4 as below</w:t>
      </w:r>
    </w:p>
    <w:p w:rsidR="00AD1B3B" w:rsidRPr="00AD1B3B" w:rsidRDefault="00AD1B3B" w:rsidP="00AD1B3B">
      <w:pPr>
        <w:pStyle w:val="TH"/>
        <w:rPr>
          <w:rFonts w:ascii="Times New Roman" w:hAnsi="Times New Roman"/>
          <w:i/>
          <w:snapToGrid w:val="0"/>
          <w:lang w:eastAsia="zh-CN"/>
        </w:rPr>
      </w:pPr>
      <w:r w:rsidRPr="00AD1B3B">
        <w:rPr>
          <w:rFonts w:ascii="Times New Roman" w:hAnsi="Times New Roman"/>
          <w:i/>
          <w:snapToGrid w:val="0"/>
        </w:rPr>
        <w:t>Table 7.5.3-1 Maximum uplink transmission timing difference requirement for</w:t>
      </w:r>
      <w:r w:rsidRPr="00AD1B3B">
        <w:rPr>
          <w:rFonts w:ascii="Times New Roman" w:hAnsi="Times New Roman"/>
          <w:i/>
          <w:snapToGrid w:val="0"/>
          <w:lang w:eastAsia="zh-CN"/>
        </w:rPr>
        <w:t xml:space="preserve"> intra-band</w:t>
      </w:r>
      <w:r w:rsidRPr="00AD1B3B">
        <w:rPr>
          <w:rFonts w:ascii="Times New Roman" w:hAnsi="Times New Roman"/>
          <w:i/>
          <w:snapToGrid w:val="0"/>
        </w:rPr>
        <w:t xml:space="preserve"> synchronous </w:t>
      </w:r>
      <w:r w:rsidRPr="00AD1B3B">
        <w:rPr>
          <w:rFonts w:ascii="Times New Roman" w:hAnsi="Times New Roman"/>
          <w:i/>
          <w:snapToGrid w:val="0"/>
          <w:lang w:eastAsia="zh-CN"/>
        </w:rPr>
        <w:t xml:space="preserve">EN-DC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0"/>
        <w:gridCol w:w="2268"/>
      </w:tblGrid>
      <w:tr w:rsidR="00AD1B3B" w:rsidRPr="00AD1B3B" w:rsidTr="002C3E0E">
        <w:tc>
          <w:tcPr>
            <w:tcW w:w="2126" w:type="dxa"/>
            <w:shd w:val="clear" w:color="auto" w:fill="auto"/>
          </w:tcPr>
          <w:p w:rsidR="00AD1B3B" w:rsidRPr="00AD1B3B" w:rsidRDefault="00AD1B3B" w:rsidP="002C3E0E">
            <w:pPr>
              <w:pStyle w:val="TAH"/>
              <w:rPr>
                <w:rFonts w:ascii="Times New Roman" w:hAnsi="Times New Roman"/>
                <w:i/>
                <w:sz w:val="20"/>
              </w:rPr>
            </w:pPr>
            <w:r w:rsidRPr="00AD1B3B">
              <w:rPr>
                <w:rFonts w:ascii="Times New Roman" w:hAnsi="Times New Roman"/>
                <w:i/>
                <w:sz w:val="20"/>
              </w:rPr>
              <w:t>Sub-carrier spacing in E-UTRA PCell (kHz)</w:t>
            </w:r>
          </w:p>
        </w:tc>
        <w:tc>
          <w:tcPr>
            <w:tcW w:w="2410" w:type="dxa"/>
            <w:shd w:val="clear" w:color="auto" w:fill="auto"/>
          </w:tcPr>
          <w:p w:rsidR="00AD1B3B" w:rsidRPr="00AD1B3B" w:rsidRDefault="00AD1B3B" w:rsidP="002C3E0E">
            <w:pPr>
              <w:pStyle w:val="TAH"/>
              <w:rPr>
                <w:rFonts w:ascii="Times New Roman" w:eastAsia="Malgun Gothic" w:hAnsi="Times New Roman"/>
                <w:i/>
                <w:sz w:val="20"/>
              </w:rPr>
            </w:pPr>
            <w:r w:rsidRPr="00AD1B3B">
              <w:rPr>
                <w:rFonts w:ascii="Times New Roman" w:hAnsi="Times New Roman"/>
                <w:i/>
                <w:sz w:val="20"/>
              </w:rPr>
              <w:t xml:space="preserve">DL Sub-carrier spacing in PSCell (kHz) </w:t>
            </w:r>
            <w:r w:rsidRPr="00AD1B3B">
              <w:rPr>
                <w:rFonts w:ascii="Times New Roman" w:hAnsi="Times New Roman"/>
                <w:i/>
                <w:sz w:val="20"/>
                <w:vertAlign w:val="superscript"/>
              </w:rPr>
              <w:t>Note1</w:t>
            </w:r>
          </w:p>
        </w:tc>
        <w:tc>
          <w:tcPr>
            <w:tcW w:w="2268" w:type="dxa"/>
            <w:shd w:val="clear" w:color="auto" w:fill="auto"/>
          </w:tcPr>
          <w:p w:rsidR="00AD1B3B" w:rsidRPr="00AD1B3B" w:rsidRDefault="00AD1B3B" w:rsidP="002C3E0E">
            <w:pPr>
              <w:pStyle w:val="TAH"/>
              <w:rPr>
                <w:rFonts w:ascii="Times New Roman" w:hAnsi="Times New Roman"/>
                <w:i/>
                <w:sz w:val="20"/>
              </w:rPr>
            </w:pPr>
            <w:r w:rsidRPr="00AD1B3B">
              <w:rPr>
                <w:rFonts w:ascii="Times New Roman" w:hAnsi="Times New Roman"/>
                <w:i/>
                <w:sz w:val="20"/>
              </w:rPr>
              <w:t xml:space="preserve">Maximum transmission timing difference (µs) </w:t>
            </w:r>
          </w:p>
        </w:tc>
      </w:tr>
      <w:tr w:rsidR="00AD1B3B" w:rsidRPr="00AD1B3B" w:rsidTr="002C3E0E">
        <w:tc>
          <w:tcPr>
            <w:tcW w:w="2126"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2268" w:type="dxa"/>
            <w:shd w:val="clear" w:color="auto" w:fill="auto"/>
          </w:tcPr>
          <w:p w:rsidR="00AD1B3B" w:rsidRPr="00AD1B3B" w:rsidRDefault="00AD1B3B" w:rsidP="002C3E0E">
            <w:pPr>
              <w:pStyle w:val="TAC"/>
              <w:rPr>
                <w:rFonts w:ascii="Times New Roman" w:eastAsia="Malgun Gothic" w:hAnsi="Times New Roman"/>
                <w:i/>
                <w:sz w:val="20"/>
              </w:rPr>
            </w:pPr>
            <w:r w:rsidRPr="00AD1B3B">
              <w:rPr>
                <w:rFonts w:ascii="Times New Roman" w:eastAsia="Malgun Gothic" w:hAnsi="Times New Roman"/>
                <w:i/>
                <w:sz w:val="20"/>
              </w:rPr>
              <w:t>5.21</w:t>
            </w:r>
            <w:r w:rsidR="00610827" w:rsidRPr="00610827">
              <w:rPr>
                <w:rFonts w:ascii="Times New Roman" w:eastAsia="Malgun Gothic" w:hAnsi="Times New Roman"/>
                <w:i/>
                <w:sz w:val="20"/>
                <w:vertAlign w:val="superscript"/>
              </w:rPr>
              <w:t>Note</w:t>
            </w:r>
            <w:r w:rsidRPr="00AD1B3B">
              <w:rPr>
                <w:rFonts w:ascii="Times New Roman" w:eastAsia="Malgun Gothic" w:hAnsi="Times New Roman"/>
                <w:i/>
                <w:sz w:val="20"/>
                <w:vertAlign w:val="superscript"/>
              </w:rPr>
              <w:t>2</w:t>
            </w:r>
          </w:p>
        </w:tc>
      </w:tr>
      <w:tr w:rsidR="00AD1B3B" w:rsidRPr="00AD1B3B" w:rsidTr="002C3E0E">
        <w:tc>
          <w:tcPr>
            <w:tcW w:w="2126"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30</w:t>
            </w:r>
          </w:p>
        </w:tc>
        <w:tc>
          <w:tcPr>
            <w:tcW w:w="2268" w:type="dxa"/>
            <w:shd w:val="clear" w:color="auto" w:fill="auto"/>
          </w:tcPr>
          <w:p w:rsidR="00AD1B3B" w:rsidRPr="00AD1B3B" w:rsidRDefault="00AD1B3B" w:rsidP="002C3E0E">
            <w:pPr>
              <w:pStyle w:val="TAC"/>
              <w:rPr>
                <w:rFonts w:ascii="Times New Roman" w:eastAsia="Malgun Gothic" w:hAnsi="Times New Roman"/>
                <w:i/>
                <w:sz w:val="20"/>
              </w:rPr>
            </w:pPr>
            <w:r w:rsidRPr="00AD1B3B">
              <w:rPr>
                <w:rFonts w:ascii="Times New Roman" w:eastAsia="Malgun Gothic" w:hAnsi="Times New Roman"/>
                <w:i/>
                <w:sz w:val="20"/>
              </w:rPr>
              <w:t>5.21</w:t>
            </w:r>
            <w:r w:rsidR="00610827" w:rsidRPr="00610827">
              <w:rPr>
                <w:rFonts w:ascii="Times New Roman" w:eastAsia="Malgun Gothic" w:hAnsi="Times New Roman"/>
                <w:i/>
                <w:sz w:val="20"/>
                <w:vertAlign w:val="superscript"/>
              </w:rPr>
              <w:t xml:space="preserve"> Note</w:t>
            </w:r>
            <w:r w:rsidR="00610827" w:rsidRPr="00AD1B3B">
              <w:rPr>
                <w:rFonts w:ascii="Times New Roman" w:eastAsia="Malgun Gothic" w:hAnsi="Times New Roman"/>
                <w:i/>
                <w:sz w:val="20"/>
                <w:vertAlign w:val="superscript"/>
              </w:rPr>
              <w:t>2</w:t>
            </w:r>
          </w:p>
        </w:tc>
      </w:tr>
      <w:tr w:rsidR="00AD1B3B" w:rsidRPr="00AD1B3B" w:rsidTr="002C3E0E">
        <w:tc>
          <w:tcPr>
            <w:tcW w:w="2126"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AD1B3B" w:rsidRPr="00AD1B3B" w:rsidRDefault="00AD1B3B" w:rsidP="002C3E0E">
            <w:pPr>
              <w:pStyle w:val="TAC"/>
              <w:rPr>
                <w:rFonts w:ascii="Times New Roman" w:hAnsi="Times New Roman"/>
                <w:i/>
                <w:sz w:val="20"/>
              </w:rPr>
            </w:pPr>
            <w:r w:rsidRPr="00AD1B3B">
              <w:rPr>
                <w:rFonts w:ascii="Times New Roman" w:hAnsi="Times New Roman"/>
                <w:i/>
                <w:sz w:val="20"/>
              </w:rPr>
              <w:t>60</w:t>
            </w:r>
          </w:p>
        </w:tc>
        <w:tc>
          <w:tcPr>
            <w:tcW w:w="2268" w:type="dxa"/>
            <w:shd w:val="clear" w:color="auto" w:fill="auto"/>
          </w:tcPr>
          <w:p w:rsidR="00AD1B3B" w:rsidRPr="00AD1B3B" w:rsidRDefault="00AD1B3B" w:rsidP="002C3E0E">
            <w:pPr>
              <w:pStyle w:val="TAC"/>
              <w:rPr>
                <w:rFonts w:ascii="Times New Roman" w:eastAsia="Malgun Gothic" w:hAnsi="Times New Roman"/>
                <w:i/>
                <w:sz w:val="20"/>
              </w:rPr>
            </w:pPr>
            <w:r w:rsidRPr="00AD1B3B">
              <w:rPr>
                <w:rFonts w:ascii="Times New Roman" w:eastAsia="Malgun Gothic" w:hAnsi="Times New Roman"/>
                <w:i/>
                <w:sz w:val="20"/>
              </w:rPr>
              <w:t>5.21</w:t>
            </w:r>
            <w:r w:rsidR="00610827" w:rsidRPr="00610827">
              <w:rPr>
                <w:rFonts w:ascii="Times New Roman" w:eastAsia="Malgun Gothic" w:hAnsi="Times New Roman"/>
                <w:i/>
                <w:sz w:val="20"/>
                <w:vertAlign w:val="superscript"/>
              </w:rPr>
              <w:t xml:space="preserve"> Note</w:t>
            </w:r>
            <w:r w:rsidR="00610827" w:rsidRPr="00AD1B3B">
              <w:rPr>
                <w:rFonts w:ascii="Times New Roman" w:eastAsia="Malgun Gothic" w:hAnsi="Times New Roman"/>
                <w:i/>
                <w:sz w:val="20"/>
                <w:vertAlign w:val="superscript"/>
              </w:rPr>
              <w:t>2</w:t>
            </w:r>
          </w:p>
        </w:tc>
      </w:tr>
      <w:tr w:rsidR="00AD1B3B" w:rsidRPr="00AD1B3B" w:rsidTr="002C3E0E">
        <w:tc>
          <w:tcPr>
            <w:tcW w:w="6804" w:type="dxa"/>
            <w:gridSpan w:val="3"/>
            <w:shd w:val="clear" w:color="auto" w:fill="auto"/>
          </w:tcPr>
          <w:p w:rsidR="00AD1B3B" w:rsidRPr="00AD1B3B" w:rsidRDefault="00AD1B3B" w:rsidP="002C3E0E">
            <w:pPr>
              <w:pStyle w:val="TAN"/>
              <w:rPr>
                <w:rFonts w:ascii="Times New Roman" w:hAnsi="Times New Roman"/>
                <w:i/>
                <w:sz w:val="20"/>
              </w:rPr>
            </w:pPr>
            <w:r w:rsidRPr="00AD1B3B">
              <w:rPr>
                <w:rFonts w:ascii="Times New Roman" w:hAnsi="Times New Roman"/>
                <w:i/>
                <w:sz w:val="20"/>
                <w:lang w:eastAsia="ko-KR"/>
              </w:rPr>
              <w:t xml:space="preserve">NOTE </w:t>
            </w:r>
            <w:r w:rsidRPr="00AD1B3B">
              <w:rPr>
                <w:rFonts w:ascii="Times New Roman" w:hAnsi="Times New Roman"/>
                <w:i/>
                <w:sz w:val="20"/>
              </w:rPr>
              <w:t>1:</w:t>
            </w:r>
            <w:r w:rsidRPr="00AD1B3B">
              <w:rPr>
                <w:rFonts w:ascii="Times New Roman" w:hAnsi="Times New Roman"/>
                <w:i/>
                <w:sz w:val="20"/>
              </w:rPr>
              <w:tab/>
              <w:t>UL Sub-carrier spacing is min{SCS</w:t>
            </w:r>
            <w:r w:rsidRPr="00AD1B3B">
              <w:rPr>
                <w:rFonts w:ascii="Times New Roman" w:hAnsi="Times New Roman"/>
                <w:i/>
                <w:sz w:val="20"/>
                <w:vertAlign w:val="subscript"/>
              </w:rPr>
              <w:t>SS</w:t>
            </w:r>
            <w:r w:rsidRPr="00AD1B3B">
              <w:rPr>
                <w:rFonts w:ascii="Times New Roman" w:hAnsi="Times New Roman"/>
                <w:i/>
                <w:sz w:val="20"/>
              </w:rPr>
              <w:t>, SCS</w:t>
            </w:r>
            <w:r w:rsidRPr="00AD1B3B">
              <w:rPr>
                <w:rFonts w:ascii="Times New Roman" w:hAnsi="Times New Roman"/>
                <w:i/>
                <w:sz w:val="20"/>
                <w:vertAlign w:val="subscript"/>
              </w:rPr>
              <w:t>DATA</w:t>
            </w:r>
            <w:r w:rsidRPr="00AD1B3B">
              <w:rPr>
                <w:rFonts w:ascii="Times New Roman" w:hAnsi="Times New Roman"/>
                <w:i/>
                <w:sz w:val="20"/>
              </w:rPr>
              <w:t>}.</w:t>
            </w:r>
          </w:p>
          <w:p w:rsidR="00AD1B3B" w:rsidRPr="00AD1B3B" w:rsidRDefault="00AD1B3B" w:rsidP="000A18D2">
            <w:pPr>
              <w:pStyle w:val="TAN"/>
              <w:rPr>
                <w:rFonts w:ascii="Times New Roman" w:hAnsi="Times New Roman"/>
                <w:i/>
                <w:sz w:val="20"/>
              </w:rPr>
            </w:pPr>
            <w:r w:rsidRPr="00AD1B3B">
              <w:rPr>
                <w:rFonts w:ascii="Times New Roman" w:hAnsi="Times New Roman"/>
                <w:i/>
                <w:sz w:val="20"/>
              </w:rPr>
              <w:t>NOTE 2:  This is not applicable for UEs that indicate the capability of only supporting single UL timing (</w:t>
            </w:r>
            <w:r w:rsidR="00610827" w:rsidRPr="00610827">
              <w:rPr>
                <w:rFonts w:ascii="Times New Roman" w:hAnsi="Times New Roman"/>
                <w:i/>
                <w:sz w:val="20"/>
              </w:rPr>
              <w:t xml:space="preserve">ul-TimingAlignmentEUTRA-NR </w:t>
            </w:r>
            <w:r w:rsidRPr="00AD1B3B">
              <w:rPr>
                <w:rFonts w:ascii="Times New Roman" w:hAnsi="Times New Roman"/>
                <w:i/>
                <w:sz w:val="20"/>
              </w:rPr>
              <w:t xml:space="preserve">is </w:t>
            </w:r>
            <w:r w:rsidR="00610827">
              <w:rPr>
                <w:rFonts w:ascii="Times New Roman" w:hAnsi="Times New Roman"/>
                <w:i/>
                <w:sz w:val="20"/>
              </w:rPr>
              <w:t>signalled</w:t>
            </w:r>
            <w:r w:rsidRPr="00AD1B3B">
              <w:rPr>
                <w:rFonts w:ascii="Times New Roman" w:hAnsi="Times New Roman"/>
                <w:i/>
                <w:sz w:val="20"/>
              </w:rPr>
              <w:t xml:space="preserve">). Single UL timing for E-UTRA and NR cell is assumed for UEs that is only capable of handling a single UL timing for E-UTRA and NR cell. </w:t>
            </w:r>
          </w:p>
        </w:tc>
      </w:tr>
    </w:tbl>
    <w:p w:rsidR="00AD1B3B" w:rsidRPr="00AD1B3B" w:rsidRDefault="00AD1B3B" w:rsidP="00AD1B3B">
      <w:pPr>
        <w:rPr>
          <w:i/>
        </w:rPr>
      </w:pPr>
    </w:p>
    <w:p w:rsidR="00AD1B3B" w:rsidRPr="00AD1B3B" w:rsidRDefault="00AD1B3B" w:rsidP="00AD1B3B">
      <w:pPr>
        <w:pStyle w:val="TH"/>
        <w:rPr>
          <w:rFonts w:ascii="Times New Roman" w:hAnsi="Times New Roman"/>
          <w:i/>
          <w:snapToGrid w:val="0"/>
        </w:rPr>
      </w:pPr>
      <w:r w:rsidRPr="00AD1B3B">
        <w:rPr>
          <w:rFonts w:ascii="Times New Roman" w:hAnsi="Times New Roman"/>
          <w:i/>
          <w:snapToGrid w:val="0"/>
        </w:rPr>
        <w:t xml:space="preserve">Table 7.6.3-1 Maximum receive timing difference requirement for </w:t>
      </w:r>
      <w:r w:rsidRPr="00AD1B3B">
        <w:rPr>
          <w:rFonts w:ascii="Times New Roman" w:hAnsi="Times New Roman"/>
          <w:i/>
          <w:snapToGrid w:val="0"/>
          <w:lang w:eastAsia="zh-CN"/>
        </w:rPr>
        <w:t xml:space="preserve">intra-band </w:t>
      </w:r>
      <w:r w:rsidRPr="00AD1B3B">
        <w:rPr>
          <w:rFonts w:ascii="Times New Roman" w:hAnsi="Times New Roman"/>
          <w:i/>
          <w:snapToGrid w:val="0"/>
        </w:rPr>
        <w:t xml:space="preserve">synchronous </w:t>
      </w:r>
      <w:r w:rsidRPr="00AD1B3B">
        <w:rPr>
          <w:rFonts w:ascii="Times New Roman" w:hAnsi="Times New Roman"/>
          <w:i/>
          <w:snapToGrid w:val="0"/>
          <w:lang w:eastAsia="zh-CN"/>
        </w:rPr>
        <w:t>EN-DC</w:t>
      </w:r>
    </w:p>
    <w:tbl>
      <w:tblPr>
        <w:tblW w:w="0" w:type="auto"/>
        <w:tblInd w:w="1034" w:type="dxa"/>
        <w:tblCellMar>
          <w:left w:w="0" w:type="dxa"/>
          <w:right w:w="0" w:type="dxa"/>
        </w:tblCellMar>
        <w:tblLook w:val="04A0" w:firstRow="1" w:lastRow="0" w:firstColumn="1" w:lastColumn="0" w:noHBand="0" w:noVBand="1"/>
      </w:tblPr>
      <w:tblGrid>
        <w:gridCol w:w="1984"/>
        <w:gridCol w:w="1985"/>
        <w:gridCol w:w="2693"/>
      </w:tblGrid>
      <w:tr w:rsidR="00AD1B3B" w:rsidRPr="00AD1B3B" w:rsidTr="00D94358">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H"/>
              <w:rPr>
                <w:rFonts w:ascii="Times New Roman" w:hAnsi="Times New Roman"/>
                <w:i/>
                <w:sz w:val="20"/>
              </w:rPr>
            </w:pPr>
            <w:r w:rsidRPr="00AD1B3B">
              <w:rPr>
                <w:rFonts w:ascii="Times New Roman" w:hAnsi="Times New Roman"/>
                <w:i/>
                <w:sz w:val="20"/>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H"/>
              <w:rPr>
                <w:rFonts w:ascii="Times New Roman" w:hAnsi="Times New Roman"/>
                <w:i/>
                <w:sz w:val="20"/>
              </w:rPr>
            </w:pPr>
            <w:r w:rsidRPr="00AD1B3B">
              <w:rPr>
                <w:rFonts w:ascii="Times New Roman" w:hAnsi="Times New Roman"/>
                <w:i/>
                <w:sz w:val="20"/>
              </w:rPr>
              <w:t xml:space="preserve">DL Sub-carrier spacing in PSCell (kHz) </w:t>
            </w:r>
            <w:r w:rsidRPr="00AD1B3B">
              <w:rPr>
                <w:rFonts w:ascii="Times New Roman" w:hAnsi="Times New Roman"/>
                <w:i/>
                <w:sz w:val="20"/>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H"/>
              <w:rPr>
                <w:rFonts w:ascii="Times New Roman" w:hAnsi="Times New Roman"/>
                <w:i/>
                <w:sz w:val="20"/>
              </w:rPr>
            </w:pPr>
            <w:r w:rsidRPr="00AD1B3B">
              <w:rPr>
                <w:rFonts w:ascii="Times New Roman" w:hAnsi="Times New Roman"/>
                <w:i/>
                <w:sz w:val="20"/>
              </w:rPr>
              <w:t>Maximum receive timing difference (µs)</w:t>
            </w:r>
          </w:p>
        </w:tc>
      </w:tr>
      <w:tr w:rsidR="00AD1B3B"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3, 0.26</w:t>
            </w:r>
            <w:r w:rsidR="00610827" w:rsidRPr="00610827">
              <w:rPr>
                <w:rFonts w:ascii="Times New Roman" w:eastAsia="Malgun Gothic" w:hAnsi="Times New Roman"/>
                <w:i/>
                <w:sz w:val="20"/>
                <w:vertAlign w:val="superscript"/>
              </w:rPr>
              <w:t xml:space="preserve"> Note</w:t>
            </w:r>
            <w:r w:rsidR="00610827" w:rsidRPr="00AD1B3B">
              <w:rPr>
                <w:rFonts w:ascii="Times New Roman" w:eastAsia="Malgun Gothic" w:hAnsi="Times New Roman"/>
                <w:i/>
                <w:sz w:val="20"/>
                <w:vertAlign w:val="superscript"/>
              </w:rPr>
              <w:t>2</w:t>
            </w:r>
          </w:p>
        </w:tc>
      </w:tr>
      <w:tr w:rsidR="00AD1B3B"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3</w:t>
            </w:r>
          </w:p>
        </w:tc>
      </w:tr>
      <w:tr w:rsidR="00AD1B3B"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C"/>
              <w:rPr>
                <w:rFonts w:ascii="Times New Roman" w:hAnsi="Times New Roman"/>
                <w:i/>
                <w:sz w:val="20"/>
              </w:rPr>
            </w:pPr>
            <w:r w:rsidRPr="00AD1B3B">
              <w:rPr>
                <w:rFonts w:ascii="Times New Roman" w:hAnsi="Times New Roman"/>
                <w:i/>
                <w:sz w:val="20"/>
              </w:rPr>
              <w:t>3</w:t>
            </w:r>
          </w:p>
        </w:tc>
      </w:tr>
      <w:tr w:rsidR="00AD1B3B" w:rsidRPr="00AD1B3B" w:rsidTr="00D94358">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AD1B3B" w:rsidRDefault="00AD1B3B" w:rsidP="002C3E0E">
            <w:pPr>
              <w:pStyle w:val="TAN"/>
              <w:rPr>
                <w:rFonts w:ascii="Times New Roman" w:hAnsi="Times New Roman"/>
                <w:i/>
                <w:sz w:val="20"/>
              </w:rPr>
            </w:pPr>
            <w:r w:rsidRPr="00AD1B3B">
              <w:rPr>
                <w:rFonts w:ascii="Times New Roman" w:hAnsi="Times New Roman"/>
                <w:i/>
                <w:sz w:val="20"/>
                <w:lang w:eastAsia="ko-KR"/>
              </w:rPr>
              <w:t xml:space="preserve">NOTE </w:t>
            </w:r>
            <w:r w:rsidRPr="00AD1B3B">
              <w:rPr>
                <w:rFonts w:ascii="Times New Roman" w:hAnsi="Times New Roman"/>
                <w:i/>
                <w:sz w:val="20"/>
              </w:rPr>
              <w:t>1:    DL Sub-carrier spacing is min{SCS</w:t>
            </w:r>
            <w:r w:rsidRPr="00AD1B3B">
              <w:rPr>
                <w:rFonts w:ascii="Times New Roman" w:hAnsi="Times New Roman"/>
                <w:i/>
                <w:sz w:val="20"/>
                <w:vertAlign w:val="subscript"/>
              </w:rPr>
              <w:t>SS</w:t>
            </w:r>
            <w:r w:rsidRPr="00AD1B3B">
              <w:rPr>
                <w:rFonts w:ascii="Times New Roman" w:hAnsi="Times New Roman"/>
                <w:i/>
                <w:sz w:val="20"/>
              </w:rPr>
              <w:t>, SCS</w:t>
            </w:r>
            <w:r w:rsidRPr="00AD1B3B">
              <w:rPr>
                <w:rFonts w:ascii="Times New Roman" w:hAnsi="Times New Roman"/>
                <w:i/>
                <w:sz w:val="20"/>
                <w:vertAlign w:val="subscript"/>
              </w:rPr>
              <w:t>DATA</w:t>
            </w:r>
            <w:r w:rsidRPr="00AD1B3B">
              <w:rPr>
                <w:rFonts w:ascii="Times New Roman" w:hAnsi="Times New Roman"/>
                <w:i/>
                <w:sz w:val="20"/>
              </w:rPr>
              <w:t>}.</w:t>
            </w:r>
          </w:p>
          <w:p w:rsidR="00AD1B3B" w:rsidRPr="00AD1B3B" w:rsidRDefault="00AD1B3B" w:rsidP="000A18D2">
            <w:pPr>
              <w:pStyle w:val="TAN"/>
              <w:rPr>
                <w:rFonts w:ascii="Times New Roman" w:hAnsi="Times New Roman"/>
                <w:i/>
                <w:sz w:val="20"/>
              </w:rPr>
            </w:pPr>
            <w:r w:rsidRPr="00AD1B3B">
              <w:rPr>
                <w:rFonts w:ascii="Times New Roman" w:hAnsi="Times New Roman"/>
                <w:i/>
                <w:sz w:val="20"/>
              </w:rPr>
              <w:t>NOTE 2:   This is applicable for UEs that indicate the capability of only supporting single UL timing (</w:t>
            </w:r>
            <w:r w:rsidR="00610827" w:rsidRPr="00610827">
              <w:rPr>
                <w:rFonts w:ascii="Times New Roman" w:hAnsi="Times New Roman"/>
                <w:i/>
                <w:sz w:val="20"/>
              </w:rPr>
              <w:t xml:space="preserve">ul-TimingAlignmentEUTRA-NR </w:t>
            </w:r>
            <w:r w:rsidR="00610827" w:rsidRPr="00AD1B3B">
              <w:rPr>
                <w:rFonts w:ascii="Times New Roman" w:hAnsi="Times New Roman"/>
                <w:i/>
                <w:sz w:val="20"/>
              </w:rPr>
              <w:t xml:space="preserve">is </w:t>
            </w:r>
            <w:r w:rsidR="00610827">
              <w:rPr>
                <w:rFonts w:ascii="Times New Roman" w:hAnsi="Times New Roman"/>
                <w:i/>
                <w:sz w:val="20"/>
              </w:rPr>
              <w:t>signalled</w:t>
            </w:r>
            <w:r w:rsidRPr="00AD1B3B">
              <w:rPr>
                <w:rFonts w:ascii="Times New Roman" w:hAnsi="Times New Roman"/>
                <w:i/>
                <w:sz w:val="20"/>
              </w:rPr>
              <w:t xml:space="preserve">). Single UL timing for E-UTRA and NR cell is assumed for UEs that is only capable of handling a single UL timing for E-UTRA and NR cell. </w:t>
            </w:r>
          </w:p>
        </w:tc>
      </w:tr>
    </w:tbl>
    <w:p w:rsidR="00AD1B3B" w:rsidRPr="00AD1B3B" w:rsidRDefault="00AD1B3B" w:rsidP="00EC2C55">
      <w:pPr>
        <w:jc w:val="both"/>
      </w:pP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AD1B3B" w:rsidP="00A967D7">
      <w:pPr>
        <w:rPr>
          <w:rFonts w:eastAsia="SimSun"/>
          <w:lang w:val="en-US" w:eastAsia="zh-CN"/>
        </w:rPr>
      </w:pPr>
      <w:r>
        <w:rPr>
          <w:lang w:val="en-US" w:eastAsia="zh-CN"/>
        </w:rPr>
        <w:t xml:space="preserve">In this contribution, we continue the discussion on the MTTD and MRTD requirement for </w:t>
      </w:r>
      <w:r w:rsidRPr="005939B5">
        <w:rPr>
          <w:lang w:val="en-US" w:eastAsia="zh-CN"/>
        </w:rPr>
        <w:t>intra-band EN-DC</w:t>
      </w:r>
      <w:r>
        <w:rPr>
          <w:lang w:val="en-US" w:eastAsia="zh-CN"/>
        </w:rPr>
        <w:t xml:space="preserve"> and also answer Question 3 in RAN2 LS [2]</w:t>
      </w:r>
      <w:r>
        <w:rPr>
          <w:rFonts w:eastAsia="SimSun"/>
          <w:lang w:val="en-US" w:eastAsia="zh-CN"/>
        </w:rPr>
        <w:t>.</w:t>
      </w:r>
    </w:p>
    <w:p w:rsidR="00610827" w:rsidRDefault="00610827" w:rsidP="00AD1B3B">
      <w:pPr>
        <w:jc w:val="both"/>
        <w:rPr>
          <w:b/>
          <w:i/>
        </w:rPr>
      </w:pPr>
      <w:r w:rsidRPr="002D25AB">
        <w:rPr>
          <w:b/>
          <w:i/>
        </w:rPr>
        <w:t>Proposal</w:t>
      </w:r>
      <w:r>
        <w:rPr>
          <w:b/>
          <w:i/>
        </w:rPr>
        <w:t xml:space="preserve"> 1</w:t>
      </w:r>
      <w:r w:rsidRPr="002D25AB">
        <w:rPr>
          <w:b/>
          <w:i/>
        </w:rPr>
        <w:t xml:space="preserve">: use </w:t>
      </w:r>
      <w:r w:rsidRPr="00610827">
        <w:rPr>
          <w:b/>
          <w:i/>
        </w:rPr>
        <w:t>ul-TimingAlignmentEUTRA-NR</w:t>
      </w:r>
      <w:r w:rsidRPr="002D25AB">
        <w:rPr>
          <w:b/>
          <w:i/>
        </w:rPr>
        <w:t xml:space="preserve"> to indicate the UE capability of supporting single UL timing or different UL timing in intra-band </w:t>
      </w:r>
      <w:r>
        <w:rPr>
          <w:b/>
          <w:i/>
        </w:rPr>
        <w:t xml:space="preserve">contiguous </w:t>
      </w:r>
      <w:r w:rsidRPr="002D25AB">
        <w:rPr>
          <w:b/>
          <w:i/>
        </w:rPr>
        <w:t>EN-DC</w:t>
      </w:r>
      <w:r w:rsidRPr="00AD1B3B">
        <w:rPr>
          <w:b/>
          <w:i/>
        </w:rPr>
        <w:t xml:space="preserve"> </w:t>
      </w:r>
    </w:p>
    <w:p w:rsidR="00610827" w:rsidRPr="00AD1B3B" w:rsidRDefault="00610827" w:rsidP="00610827">
      <w:pPr>
        <w:jc w:val="both"/>
        <w:rPr>
          <w:b/>
          <w:i/>
        </w:rPr>
      </w:pPr>
      <w:r w:rsidRPr="00AD1B3B">
        <w:rPr>
          <w:b/>
          <w:i/>
        </w:rPr>
        <w:t>Proposal 2: The MTTD and MRTD requirements for intra-band synchronous EN-DC are defined in RAN4 as below</w:t>
      </w:r>
    </w:p>
    <w:p w:rsidR="00610827" w:rsidRPr="00AD1B3B" w:rsidRDefault="00610827" w:rsidP="00610827">
      <w:pPr>
        <w:pStyle w:val="TH"/>
        <w:rPr>
          <w:rFonts w:ascii="Times New Roman" w:hAnsi="Times New Roman"/>
          <w:i/>
          <w:snapToGrid w:val="0"/>
          <w:lang w:eastAsia="zh-CN"/>
        </w:rPr>
      </w:pPr>
      <w:r w:rsidRPr="00AD1B3B">
        <w:rPr>
          <w:rFonts w:ascii="Times New Roman" w:hAnsi="Times New Roman"/>
          <w:i/>
          <w:snapToGrid w:val="0"/>
        </w:rPr>
        <w:lastRenderedPageBreak/>
        <w:t>Table 7.5.3-1 Maximum uplink transmission timing difference requirement for</w:t>
      </w:r>
      <w:r w:rsidRPr="00AD1B3B">
        <w:rPr>
          <w:rFonts w:ascii="Times New Roman" w:hAnsi="Times New Roman"/>
          <w:i/>
          <w:snapToGrid w:val="0"/>
          <w:lang w:eastAsia="zh-CN"/>
        </w:rPr>
        <w:t xml:space="preserve"> intra-band</w:t>
      </w:r>
      <w:r w:rsidRPr="00AD1B3B">
        <w:rPr>
          <w:rFonts w:ascii="Times New Roman" w:hAnsi="Times New Roman"/>
          <w:i/>
          <w:snapToGrid w:val="0"/>
        </w:rPr>
        <w:t xml:space="preserve"> synchronous </w:t>
      </w:r>
      <w:r w:rsidRPr="00AD1B3B">
        <w:rPr>
          <w:rFonts w:ascii="Times New Roman" w:hAnsi="Times New Roman"/>
          <w:i/>
          <w:snapToGrid w:val="0"/>
          <w:lang w:eastAsia="zh-CN"/>
        </w:rPr>
        <w:t xml:space="preserve">EN-DC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0"/>
        <w:gridCol w:w="2268"/>
      </w:tblGrid>
      <w:tr w:rsidR="00610827" w:rsidRPr="00AD1B3B" w:rsidTr="00AD6BC5">
        <w:tc>
          <w:tcPr>
            <w:tcW w:w="2126" w:type="dxa"/>
            <w:shd w:val="clear" w:color="auto" w:fill="auto"/>
          </w:tcPr>
          <w:p w:rsidR="00610827" w:rsidRPr="00AD1B3B" w:rsidRDefault="00610827" w:rsidP="00AD6BC5">
            <w:pPr>
              <w:pStyle w:val="TAH"/>
              <w:rPr>
                <w:rFonts w:ascii="Times New Roman" w:hAnsi="Times New Roman"/>
                <w:i/>
                <w:sz w:val="20"/>
              </w:rPr>
            </w:pPr>
            <w:r w:rsidRPr="00AD1B3B">
              <w:rPr>
                <w:rFonts w:ascii="Times New Roman" w:hAnsi="Times New Roman"/>
                <w:i/>
                <w:sz w:val="20"/>
              </w:rPr>
              <w:t>Sub-carrier spacing in E-UTRA PCell (kHz)</w:t>
            </w:r>
          </w:p>
        </w:tc>
        <w:tc>
          <w:tcPr>
            <w:tcW w:w="2410" w:type="dxa"/>
            <w:shd w:val="clear" w:color="auto" w:fill="auto"/>
          </w:tcPr>
          <w:p w:rsidR="00610827" w:rsidRPr="00AD1B3B" w:rsidRDefault="00610827" w:rsidP="00AD6BC5">
            <w:pPr>
              <w:pStyle w:val="TAH"/>
              <w:rPr>
                <w:rFonts w:ascii="Times New Roman" w:eastAsia="Malgun Gothic" w:hAnsi="Times New Roman"/>
                <w:i/>
                <w:sz w:val="20"/>
              </w:rPr>
            </w:pPr>
            <w:r w:rsidRPr="00AD1B3B">
              <w:rPr>
                <w:rFonts w:ascii="Times New Roman" w:hAnsi="Times New Roman"/>
                <w:i/>
                <w:sz w:val="20"/>
              </w:rPr>
              <w:t xml:space="preserve">DL Sub-carrier spacing in PSCell (kHz) </w:t>
            </w:r>
            <w:r w:rsidRPr="00AD1B3B">
              <w:rPr>
                <w:rFonts w:ascii="Times New Roman" w:hAnsi="Times New Roman"/>
                <w:i/>
                <w:sz w:val="20"/>
                <w:vertAlign w:val="superscript"/>
              </w:rPr>
              <w:t>Note1</w:t>
            </w:r>
          </w:p>
        </w:tc>
        <w:tc>
          <w:tcPr>
            <w:tcW w:w="2268" w:type="dxa"/>
            <w:shd w:val="clear" w:color="auto" w:fill="auto"/>
          </w:tcPr>
          <w:p w:rsidR="00610827" w:rsidRPr="00AD1B3B" w:rsidRDefault="00610827" w:rsidP="00AD6BC5">
            <w:pPr>
              <w:pStyle w:val="TAH"/>
              <w:rPr>
                <w:rFonts w:ascii="Times New Roman" w:hAnsi="Times New Roman"/>
                <w:i/>
                <w:sz w:val="20"/>
              </w:rPr>
            </w:pPr>
            <w:r w:rsidRPr="00AD1B3B">
              <w:rPr>
                <w:rFonts w:ascii="Times New Roman" w:hAnsi="Times New Roman"/>
                <w:i/>
                <w:sz w:val="20"/>
              </w:rPr>
              <w:t xml:space="preserve">Maximum transmission timing difference (µs) </w:t>
            </w:r>
          </w:p>
        </w:tc>
      </w:tr>
      <w:tr w:rsidR="00610827" w:rsidRPr="00AD1B3B" w:rsidTr="00AD6BC5">
        <w:tc>
          <w:tcPr>
            <w:tcW w:w="2126"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2268" w:type="dxa"/>
            <w:shd w:val="clear" w:color="auto" w:fill="auto"/>
          </w:tcPr>
          <w:p w:rsidR="00610827" w:rsidRPr="00AD1B3B" w:rsidRDefault="00610827" w:rsidP="00AD6BC5">
            <w:pPr>
              <w:pStyle w:val="TAC"/>
              <w:rPr>
                <w:rFonts w:ascii="Times New Roman" w:eastAsia="Malgun Gothic" w:hAnsi="Times New Roman"/>
                <w:i/>
                <w:sz w:val="20"/>
              </w:rPr>
            </w:pPr>
            <w:r w:rsidRPr="00AD1B3B">
              <w:rPr>
                <w:rFonts w:ascii="Times New Roman" w:eastAsia="Malgun Gothic" w:hAnsi="Times New Roman"/>
                <w:i/>
                <w:sz w:val="20"/>
              </w:rPr>
              <w:t>5.21</w:t>
            </w:r>
            <w:r w:rsidRPr="00610827">
              <w:rPr>
                <w:rFonts w:ascii="Times New Roman" w:eastAsia="Malgun Gothic" w:hAnsi="Times New Roman"/>
                <w:i/>
                <w:sz w:val="20"/>
                <w:vertAlign w:val="superscript"/>
              </w:rPr>
              <w:t>Note</w:t>
            </w:r>
            <w:r w:rsidRPr="00AD1B3B">
              <w:rPr>
                <w:rFonts w:ascii="Times New Roman" w:eastAsia="Malgun Gothic" w:hAnsi="Times New Roman"/>
                <w:i/>
                <w:sz w:val="20"/>
                <w:vertAlign w:val="superscript"/>
              </w:rPr>
              <w:t>2</w:t>
            </w:r>
          </w:p>
        </w:tc>
      </w:tr>
      <w:tr w:rsidR="00610827" w:rsidRPr="00AD1B3B" w:rsidTr="00AD6BC5">
        <w:tc>
          <w:tcPr>
            <w:tcW w:w="2126"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30</w:t>
            </w:r>
          </w:p>
        </w:tc>
        <w:tc>
          <w:tcPr>
            <w:tcW w:w="2268" w:type="dxa"/>
            <w:shd w:val="clear" w:color="auto" w:fill="auto"/>
          </w:tcPr>
          <w:p w:rsidR="00610827" w:rsidRPr="00AD1B3B" w:rsidRDefault="00610827" w:rsidP="00AD6BC5">
            <w:pPr>
              <w:pStyle w:val="TAC"/>
              <w:rPr>
                <w:rFonts w:ascii="Times New Roman" w:eastAsia="Malgun Gothic" w:hAnsi="Times New Roman"/>
                <w:i/>
                <w:sz w:val="20"/>
              </w:rPr>
            </w:pPr>
            <w:r w:rsidRPr="00AD1B3B">
              <w:rPr>
                <w:rFonts w:ascii="Times New Roman" w:eastAsia="Malgun Gothic" w:hAnsi="Times New Roman"/>
                <w:i/>
                <w:sz w:val="20"/>
              </w:rPr>
              <w:t>5.21</w:t>
            </w:r>
            <w:r w:rsidRPr="00610827">
              <w:rPr>
                <w:rFonts w:ascii="Times New Roman" w:eastAsia="Malgun Gothic" w:hAnsi="Times New Roman"/>
                <w:i/>
                <w:sz w:val="20"/>
                <w:vertAlign w:val="superscript"/>
              </w:rPr>
              <w:t xml:space="preserve"> Note</w:t>
            </w:r>
            <w:r w:rsidRPr="00AD1B3B">
              <w:rPr>
                <w:rFonts w:ascii="Times New Roman" w:eastAsia="Malgun Gothic" w:hAnsi="Times New Roman"/>
                <w:i/>
                <w:sz w:val="20"/>
                <w:vertAlign w:val="superscript"/>
              </w:rPr>
              <w:t>2</w:t>
            </w:r>
          </w:p>
        </w:tc>
      </w:tr>
      <w:tr w:rsidR="00610827" w:rsidRPr="00AD1B3B" w:rsidTr="00AD6BC5">
        <w:tc>
          <w:tcPr>
            <w:tcW w:w="2126"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2410" w:type="dxa"/>
            <w:shd w:val="clear" w:color="auto" w:fill="auto"/>
          </w:tcPr>
          <w:p w:rsidR="00610827" w:rsidRPr="00AD1B3B" w:rsidRDefault="00610827" w:rsidP="00AD6BC5">
            <w:pPr>
              <w:pStyle w:val="TAC"/>
              <w:rPr>
                <w:rFonts w:ascii="Times New Roman" w:hAnsi="Times New Roman"/>
                <w:i/>
                <w:sz w:val="20"/>
              </w:rPr>
            </w:pPr>
            <w:r w:rsidRPr="00AD1B3B">
              <w:rPr>
                <w:rFonts w:ascii="Times New Roman" w:hAnsi="Times New Roman"/>
                <w:i/>
                <w:sz w:val="20"/>
              </w:rPr>
              <w:t>60</w:t>
            </w:r>
          </w:p>
        </w:tc>
        <w:tc>
          <w:tcPr>
            <w:tcW w:w="2268" w:type="dxa"/>
            <w:shd w:val="clear" w:color="auto" w:fill="auto"/>
          </w:tcPr>
          <w:p w:rsidR="00610827" w:rsidRPr="00AD1B3B" w:rsidRDefault="00610827" w:rsidP="00AD6BC5">
            <w:pPr>
              <w:pStyle w:val="TAC"/>
              <w:rPr>
                <w:rFonts w:ascii="Times New Roman" w:eastAsia="Malgun Gothic" w:hAnsi="Times New Roman"/>
                <w:i/>
                <w:sz w:val="20"/>
              </w:rPr>
            </w:pPr>
            <w:r w:rsidRPr="00AD1B3B">
              <w:rPr>
                <w:rFonts w:ascii="Times New Roman" w:eastAsia="Malgun Gothic" w:hAnsi="Times New Roman"/>
                <w:i/>
                <w:sz w:val="20"/>
              </w:rPr>
              <w:t>5.21</w:t>
            </w:r>
            <w:r w:rsidRPr="00610827">
              <w:rPr>
                <w:rFonts w:ascii="Times New Roman" w:eastAsia="Malgun Gothic" w:hAnsi="Times New Roman"/>
                <w:i/>
                <w:sz w:val="20"/>
                <w:vertAlign w:val="superscript"/>
              </w:rPr>
              <w:t xml:space="preserve"> Note</w:t>
            </w:r>
            <w:r w:rsidRPr="00AD1B3B">
              <w:rPr>
                <w:rFonts w:ascii="Times New Roman" w:eastAsia="Malgun Gothic" w:hAnsi="Times New Roman"/>
                <w:i/>
                <w:sz w:val="20"/>
                <w:vertAlign w:val="superscript"/>
              </w:rPr>
              <w:t>2</w:t>
            </w:r>
          </w:p>
        </w:tc>
      </w:tr>
      <w:tr w:rsidR="00610827" w:rsidRPr="00AD1B3B" w:rsidTr="00AD6BC5">
        <w:tc>
          <w:tcPr>
            <w:tcW w:w="6804" w:type="dxa"/>
            <w:gridSpan w:val="3"/>
            <w:shd w:val="clear" w:color="auto" w:fill="auto"/>
          </w:tcPr>
          <w:p w:rsidR="00610827" w:rsidRPr="00AD1B3B" w:rsidRDefault="00610827" w:rsidP="00AD6BC5">
            <w:pPr>
              <w:pStyle w:val="TAN"/>
              <w:rPr>
                <w:rFonts w:ascii="Times New Roman" w:hAnsi="Times New Roman"/>
                <w:i/>
                <w:sz w:val="20"/>
              </w:rPr>
            </w:pPr>
            <w:r w:rsidRPr="00AD1B3B">
              <w:rPr>
                <w:rFonts w:ascii="Times New Roman" w:hAnsi="Times New Roman"/>
                <w:i/>
                <w:sz w:val="20"/>
                <w:lang w:eastAsia="ko-KR"/>
              </w:rPr>
              <w:t xml:space="preserve">NOTE </w:t>
            </w:r>
            <w:r w:rsidRPr="00AD1B3B">
              <w:rPr>
                <w:rFonts w:ascii="Times New Roman" w:hAnsi="Times New Roman"/>
                <w:i/>
                <w:sz w:val="20"/>
              </w:rPr>
              <w:t>1:</w:t>
            </w:r>
            <w:r w:rsidRPr="00AD1B3B">
              <w:rPr>
                <w:rFonts w:ascii="Times New Roman" w:hAnsi="Times New Roman"/>
                <w:i/>
                <w:sz w:val="20"/>
              </w:rPr>
              <w:tab/>
              <w:t>UL Sub-carrier spacing is min{SCS</w:t>
            </w:r>
            <w:r w:rsidRPr="00AD1B3B">
              <w:rPr>
                <w:rFonts w:ascii="Times New Roman" w:hAnsi="Times New Roman"/>
                <w:i/>
                <w:sz w:val="20"/>
                <w:vertAlign w:val="subscript"/>
              </w:rPr>
              <w:t>SS</w:t>
            </w:r>
            <w:r w:rsidRPr="00AD1B3B">
              <w:rPr>
                <w:rFonts w:ascii="Times New Roman" w:hAnsi="Times New Roman"/>
                <w:i/>
                <w:sz w:val="20"/>
              </w:rPr>
              <w:t>, SCS</w:t>
            </w:r>
            <w:r w:rsidRPr="00AD1B3B">
              <w:rPr>
                <w:rFonts w:ascii="Times New Roman" w:hAnsi="Times New Roman"/>
                <w:i/>
                <w:sz w:val="20"/>
                <w:vertAlign w:val="subscript"/>
              </w:rPr>
              <w:t>DATA</w:t>
            </w:r>
            <w:r w:rsidRPr="00AD1B3B">
              <w:rPr>
                <w:rFonts w:ascii="Times New Roman" w:hAnsi="Times New Roman"/>
                <w:i/>
                <w:sz w:val="20"/>
              </w:rPr>
              <w:t>}.</w:t>
            </w:r>
          </w:p>
          <w:p w:rsidR="00610827" w:rsidRPr="00AD1B3B" w:rsidRDefault="00610827" w:rsidP="000A18D2">
            <w:pPr>
              <w:pStyle w:val="TAN"/>
              <w:rPr>
                <w:rFonts w:ascii="Times New Roman" w:hAnsi="Times New Roman"/>
                <w:i/>
                <w:sz w:val="20"/>
              </w:rPr>
            </w:pPr>
            <w:r w:rsidRPr="00AD1B3B">
              <w:rPr>
                <w:rFonts w:ascii="Times New Roman" w:hAnsi="Times New Roman"/>
                <w:i/>
                <w:sz w:val="20"/>
              </w:rPr>
              <w:t>NOTE 2:  This is not applicable for UEs that indicate the capability of only supporting single UL timing (</w:t>
            </w:r>
            <w:r w:rsidRPr="00610827">
              <w:rPr>
                <w:rFonts w:ascii="Times New Roman" w:hAnsi="Times New Roman"/>
                <w:i/>
                <w:sz w:val="20"/>
              </w:rPr>
              <w:t xml:space="preserve">ul-TimingAlignmentEUTRA-NR </w:t>
            </w:r>
            <w:r w:rsidRPr="00AD1B3B">
              <w:rPr>
                <w:rFonts w:ascii="Times New Roman" w:hAnsi="Times New Roman"/>
                <w:i/>
                <w:sz w:val="20"/>
              </w:rPr>
              <w:t xml:space="preserve">is </w:t>
            </w:r>
            <w:r>
              <w:rPr>
                <w:rFonts w:ascii="Times New Roman" w:hAnsi="Times New Roman"/>
                <w:i/>
                <w:sz w:val="20"/>
              </w:rPr>
              <w:t>signalled</w:t>
            </w:r>
            <w:r w:rsidRPr="00AD1B3B">
              <w:rPr>
                <w:rFonts w:ascii="Times New Roman" w:hAnsi="Times New Roman"/>
                <w:i/>
                <w:sz w:val="20"/>
              </w:rPr>
              <w:t xml:space="preserve">). Single UL timing for E-UTRA and NR cell is assumed for UEs that is only capable of handling a single UL timing for E-UTRA and NR cell. </w:t>
            </w:r>
          </w:p>
        </w:tc>
      </w:tr>
    </w:tbl>
    <w:p w:rsidR="00610827" w:rsidRPr="00AD1B3B" w:rsidRDefault="00610827" w:rsidP="00610827">
      <w:pPr>
        <w:rPr>
          <w:i/>
        </w:rPr>
      </w:pPr>
    </w:p>
    <w:p w:rsidR="00610827" w:rsidRPr="00AD1B3B" w:rsidRDefault="00610827" w:rsidP="00610827">
      <w:pPr>
        <w:pStyle w:val="TH"/>
        <w:rPr>
          <w:rFonts w:ascii="Times New Roman" w:hAnsi="Times New Roman"/>
          <w:i/>
          <w:snapToGrid w:val="0"/>
        </w:rPr>
      </w:pPr>
      <w:r w:rsidRPr="00AD1B3B">
        <w:rPr>
          <w:rFonts w:ascii="Times New Roman" w:hAnsi="Times New Roman"/>
          <w:i/>
          <w:snapToGrid w:val="0"/>
        </w:rPr>
        <w:t xml:space="preserve">Table 7.6.3-1 Maximum receive timing difference requirement for </w:t>
      </w:r>
      <w:r w:rsidRPr="00AD1B3B">
        <w:rPr>
          <w:rFonts w:ascii="Times New Roman" w:hAnsi="Times New Roman"/>
          <w:i/>
          <w:snapToGrid w:val="0"/>
          <w:lang w:eastAsia="zh-CN"/>
        </w:rPr>
        <w:t xml:space="preserve">intra-band </w:t>
      </w:r>
      <w:r w:rsidRPr="00AD1B3B">
        <w:rPr>
          <w:rFonts w:ascii="Times New Roman" w:hAnsi="Times New Roman"/>
          <w:i/>
          <w:snapToGrid w:val="0"/>
        </w:rPr>
        <w:t xml:space="preserve">synchronous </w:t>
      </w:r>
      <w:r w:rsidRPr="00AD1B3B">
        <w:rPr>
          <w:rFonts w:ascii="Times New Roman" w:hAnsi="Times New Roman"/>
          <w:i/>
          <w:snapToGrid w:val="0"/>
          <w:lang w:eastAsia="zh-CN"/>
        </w:rPr>
        <w:t>EN-DC</w:t>
      </w:r>
    </w:p>
    <w:tbl>
      <w:tblPr>
        <w:tblW w:w="0" w:type="auto"/>
        <w:tblInd w:w="1160" w:type="dxa"/>
        <w:tblCellMar>
          <w:left w:w="0" w:type="dxa"/>
          <w:right w:w="0" w:type="dxa"/>
        </w:tblCellMar>
        <w:tblLook w:val="04A0" w:firstRow="1" w:lastRow="0" w:firstColumn="1" w:lastColumn="0" w:noHBand="0" w:noVBand="1"/>
      </w:tblPr>
      <w:tblGrid>
        <w:gridCol w:w="1984"/>
        <w:gridCol w:w="1985"/>
        <w:gridCol w:w="2693"/>
      </w:tblGrid>
      <w:tr w:rsidR="00610827" w:rsidRPr="00AD1B3B" w:rsidTr="00D94358">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H"/>
              <w:rPr>
                <w:rFonts w:ascii="Times New Roman" w:hAnsi="Times New Roman"/>
                <w:i/>
                <w:sz w:val="20"/>
              </w:rPr>
            </w:pPr>
            <w:r w:rsidRPr="00AD1B3B">
              <w:rPr>
                <w:rFonts w:ascii="Times New Roman" w:hAnsi="Times New Roman"/>
                <w:i/>
                <w:sz w:val="20"/>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H"/>
              <w:rPr>
                <w:rFonts w:ascii="Times New Roman" w:hAnsi="Times New Roman"/>
                <w:i/>
                <w:sz w:val="20"/>
              </w:rPr>
            </w:pPr>
            <w:r w:rsidRPr="00AD1B3B">
              <w:rPr>
                <w:rFonts w:ascii="Times New Roman" w:hAnsi="Times New Roman"/>
                <w:i/>
                <w:sz w:val="20"/>
              </w:rPr>
              <w:t xml:space="preserve">DL Sub-carrier spacing in PSCell (kHz) </w:t>
            </w:r>
            <w:r w:rsidRPr="00AD1B3B">
              <w:rPr>
                <w:rFonts w:ascii="Times New Roman" w:hAnsi="Times New Roman"/>
                <w:i/>
                <w:sz w:val="20"/>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H"/>
              <w:rPr>
                <w:rFonts w:ascii="Times New Roman" w:hAnsi="Times New Roman"/>
                <w:i/>
                <w:sz w:val="20"/>
              </w:rPr>
            </w:pPr>
            <w:r w:rsidRPr="00AD1B3B">
              <w:rPr>
                <w:rFonts w:ascii="Times New Roman" w:hAnsi="Times New Roman"/>
                <w:i/>
                <w:sz w:val="20"/>
              </w:rPr>
              <w:t>Maximum receive timing difference (µs)</w:t>
            </w:r>
          </w:p>
        </w:tc>
      </w:tr>
      <w:tr w:rsidR="00610827"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3, 0.26</w:t>
            </w:r>
            <w:r w:rsidRPr="00610827">
              <w:rPr>
                <w:rFonts w:ascii="Times New Roman" w:eastAsia="Malgun Gothic" w:hAnsi="Times New Roman"/>
                <w:i/>
                <w:sz w:val="20"/>
                <w:vertAlign w:val="superscript"/>
              </w:rPr>
              <w:t xml:space="preserve"> Note</w:t>
            </w:r>
            <w:r w:rsidRPr="00AD1B3B">
              <w:rPr>
                <w:rFonts w:ascii="Times New Roman" w:eastAsia="Malgun Gothic" w:hAnsi="Times New Roman"/>
                <w:i/>
                <w:sz w:val="20"/>
                <w:vertAlign w:val="superscript"/>
              </w:rPr>
              <w:t>2</w:t>
            </w:r>
          </w:p>
        </w:tc>
      </w:tr>
      <w:tr w:rsidR="00610827"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3</w:t>
            </w:r>
          </w:p>
        </w:tc>
      </w:tr>
      <w:tr w:rsidR="00610827" w:rsidRPr="00AD1B3B"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C"/>
              <w:rPr>
                <w:rFonts w:ascii="Times New Roman" w:hAnsi="Times New Roman"/>
                <w:i/>
                <w:sz w:val="20"/>
              </w:rPr>
            </w:pPr>
            <w:r w:rsidRPr="00AD1B3B">
              <w:rPr>
                <w:rFonts w:ascii="Times New Roman" w:hAnsi="Times New Roman"/>
                <w:i/>
                <w:sz w:val="20"/>
              </w:rPr>
              <w:t>3</w:t>
            </w:r>
          </w:p>
        </w:tc>
      </w:tr>
      <w:tr w:rsidR="00610827" w:rsidRPr="00AD1B3B" w:rsidTr="00D94358">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0827" w:rsidRPr="00AD1B3B" w:rsidRDefault="00610827" w:rsidP="00AD6BC5">
            <w:pPr>
              <w:pStyle w:val="TAN"/>
              <w:rPr>
                <w:rFonts w:ascii="Times New Roman" w:hAnsi="Times New Roman"/>
                <w:i/>
                <w:sz w:val="20"/>
              </w:rPr>
            </w:pPr>
            <w:r w:rsidRPr="00AD1B3B">
              <w:rPr>
                <w:rFonts w:ascii="Times New Roman" w:hAnsi="Times New Roman"/>
                <w:i/>
                <w:sz w:val="20"/>
                <w:lang w:eastAsia="ko-KR"/>
              </w:rPr>
              <w:t xml:space="preserve">NOTE </w:t>
            </w:r>
            <w:r w:rsidRPr="00AD1B3B">
              <w:rPr>
                <w:rFonts w:ascii="Times New Roman" w:hAnsi="Times New Roman"/>
                <w:i/>
                <w:sz w:val="20"/>
              </w:rPr>
              <w:t>1:    DL Sub-carrier spacing is min{SCS</w:t>
            </w:r>
            <w:r w:rsidRPr="00AD1B3B">
              <w:rPr>
                <w:rFonts w:ascii="Times New Roman" w:hAnsi="Times New Roman"/>
                <w:i/>
                <w:sz w:val="20"/>
                <w:vertAlign w:val="subscript"/>
              </w:rPr>
              <w:t>SS</w:t>
            </w:r>
            <w:r w:rsidRPr="00AD1B3B">
              <w:rPr>
                <w:rFonts w:ascii="Times New Roman" w:hAnsi="Times New Roman"/>
                <w:i/>
                <w:sz w:val="20"/>
              </w:rPr>
              <w:t>, SCS</w:t>
            </w:r>
            <w:r w:rsidRPr="00AD1B3B">
              <w:rPr>
                <w:rFonts w:ascii="Times New Roman" w:hAnsi="Times New Roman"/>
                <w:i/>
                <w:sz w:val="20"/>
                <w:vertAlign w:val="subscript"/>
              </w:rPr>
              <w:t>DATA</w:t>
            </w:r>
            <w:r w:rsidRPr="00AD1B3B">
              <w:rPr>
                <w:rFonts w:ascii="Times New Roman" w:hAnsi="Times New Roman"/>
                <w:i/>
                <w:sz w:val="20"/>
              </w:rPr>
              <w:t>}.</w:t>
            </w:r>
          </w:p>
          <w:p w:rsidR="00610827" w:rsidRPr="00AD1B3B" w:rsidRDefault="00610827" w:rsidP="000A18D2">
            <w:pPr>
              <w:pStyle w:val="TAN"/>
              <w:rPr>
                <w:rFonts w:ascii="Times New Roman" w:hAnsi="Times New Roman"/>
                <w:i/>
                <w:sz w:val="20"/>
              </w:rPr>
            </w:pPr>
            <w:r w:rsidRPr="00AD1B3B">
              <w:rPr>
                <w:rFonts w:ascii="Times New Roman" w:hAnsi="Times New Roman"/>
                <w:i/>
                <w:sz w:val="20"/>
              </w:rPr>
              <w:t>NOTE 2:   This is applicable for UEs that indicate the capability of only supporting single UL timing (</w:t>
            </w:r>
            <w:r w:rsidRPr="00610827">
              <w:rPr>
                <w:rFonts w:ascii="Times New Roman" w:hAnsi="Times New Roman"/>
                <w:i/>
                <w:sz w:val="20"/>
              </w:rPr>
              <w:t xml:space="preserve">ul-TimingAlignmentEUTRA-NR </w:t>
            </w:r>
            <w:r w:rsidRPr="00AD1B3B">
              <w:rPr>
                <w:rFonts w:ascii="Times New Roman" w:hAnsi="Times New Roman"/>
                <w:i/>
                <w:sz w:val="20"/>
              </w:rPr>
              <w:t xml:space="preserve">is </w:t>
            </w:r>
            <w:r>
              <w:rPr>
                <w:rFonts w:ascii="Times New Roman" w:hAnsi="Times New Roman"/>
                <w:i/>
                <w:sz w:val="20"/>
              </w:rPr>
              <w:t>signalled</w:t>
            </w:r>
            <w:bookmarkStart w:id="2" w:name="_GoBack"/>
            <w:bookmarkEnd w:id="2"/>
            <w:r w:rsidRPr="00AD1B3B">
              <w:rPr>
                <w:rFonts w:ascii="Times New Roman" w:hAnsi="Times New Roman"/>
                <w:i/>
                <w:sz w:val="20"/>
              </w:rPr>
              <w:t xml:space="preserve">). Single UL timing for E-UTRA and NR cell is assumed for UEs that is only capable of handling a single UL timing for E-UTRA and NR cell. </w:t>
            </w:r>
          </w:p>
        </w:tc>
      </w:tr>
    </w:tbl>
    <w:p w:rsidR="00610827" w:rsidRPr="00AD1B3B" w:rsidRDefault="00610827" w:rsidP="00610827">
      <w:pPr>
        <w:jc w:val="both"/>
      </w:pPr>
    </w:p>
    <w:p w:rsidR="002E729D" w:rsidRPr="008C789E" w:rsidRDefault="002E729D" w:rsidP="002E729D">
      <w:pPr>
        <w:pStyle w:val="ListParagraph"/>
        <w:numPr>
          <w:ilvl w:val="0"/>
          <w:numId w:val="30"/>
        </w:numPr>
        <w:ind w:firstLineChars="0"/>
        <w:rPr>
          <w:vanish/>
          <w:lang w:eastAsia="zh-CN"/>
        </w:rPr>
      </w:pPr>
    </w:p>
    <w:p w:rsidR="00094D01" w:rsidRPr="005B7538" w:rsidRDefault="00094D01" w:rsidP="00634965">
      <w:pPr>
        <w:pStyle w:val="Heading1"/>
        <w:rPr>
          <w:sz w:val="32"/>
          <w:szCs w:val="32"/>
        </w:rPr>
      </w:pPr>
      <w:r w:rsidRPr="005B7538">
        <w:rPr>
          <w:rFonts w:hint="eastAsia"/>
          <w:sz w:val="32"/>
          <w:szCs w:val="32"/>
        </w:rPr>
        <w:t>References</w:t>
      </w:r>
    </w:p>
    <w:p w:rsidR="007A0429" w:rsidRDefault="00BA5567" w:rsidP="00BA5567">
      <w:pPr>
        <w:pStyle w:val="Reference"/>
        <w:keepLines/>
        <w:spacing w:after="180"/>
        <w:ind w:left="360" w:hanging="360"/>
        <w:rPr>
          <w:lang w:eastAsia="en-US"/>
        </w:rPr>
      </w:pPr>
      <w:r>
        <w:rPr>
          <w:lang w:eastAsia="en-US"/>
        </w:rPr>
        <w:t xml:space="preserve">[1] </w:t>
      </w:r>
      <w:r w:rsidR="007A0429" w:rsidRPr="007A0429">
        <w:rPr>
          <w:lang w:eastAsia="en-US"/>
        </w:rPr>
        <w:t>R4-1900374</w:t>
      </w:r>
      <w:r w:rsidR="007A0429">
        <w:rPr>
          <w:lang w:eastAsia="en-US"/>
        </w:rPr>
        <w:t xml:space="preserve">, </w:t>
      </w:r>
      <w:r w:rsidR="007A0429" w:rsidRPr="007A0429">
        <w:rPr>
          <w:lang w:eastAsia="en-US"/>
        </w:rPr>
        <w:t>On MTTD for intra-band contiguous EN-DC</w:t>
      </w:r>
      <w:r w:rsidR="007A0429">
        <w:rPr>
          <w:lang w:eastAsia="en-US"/>
        </w:rPr>
        <w:t>, Intel, RAN4 #90</w:t>
      </w:r>
      <w:r>
        <w:rPr>
          <w:lang w:eastAsia="en-US"/>
        </w:rPr>
        <w:tab/>
      </w:r>
    </w:p>
    <w:p w:rsidR="00BA5567" w:rsidRDefault="00416763" w:rsidP="00BA5567">
      <w:pPr>
        <w:pStyle w:val="Reference"/>
        <w:keepLines/>
        <w:spacing w:after="180"/>
        <w:ind w:left="360" w:hanging="360"/>
        <w:rPr>
          <w:lang w:eastAsia="en-US"/>
        </w:rPr>
      </w:pPr>
      <w:r>
        <w:rPr>
          <w:lang w:eastAsia="en-US"/>
        </w:rPr>
        <w:t xml:space="preserve">[2] </w:t>
      </w:r>
      <w:r w:rsidR="00BA5567" w:rsidRPr="00BA5567">
        <w:rPr>
          <w:lang w:eastAsia="en-US"/>
        </w:rPr>
        <w:t>R2-1813442</w:t>
      </w:r>
      <w:r w:rsidR="00BA5567">
        <w:rPr>
          <w:lang w:eastAsia="en-US"/>
        </w:rPr>
        <w:t>, “</w:t>
      </w:r>
      <w:r w:rsidR="00BA5567" w:rsidRPr="00BA5567">
        <w:rPr>
          <w:lang w:eastAsia="en-US"/>
        </w:rPr>
        <w:t>LS on intra-band combination for NR CA and MR-DC</w:t>
      </w:r>
      <w:r w:rsidR="00BA5567">
        <w:rPr>
          <w:lang w:eastAsia="en-US"/>
        </w:rPr>
        <w:t xml:space="preserve">”, </w:t>
      </w:r>
      <w:r w:rsidR="00BA5567">
        <w:rPr>
          <w:rFonts w:cs="Arial"/>
          <w:bCs/>
        </w:rPr>
        <w:t>NTT DOCOMO</w:t>
      </w:r>
      <w:r w:rsidR="00BA5567">
        <w:rPr>
          <w:lang w:eastAsia="en-US"/>
        </w:rPr>
        <w:t>, RAN2 #103</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AA4" w:rsidRDefault="00C42AA4">
      <w:pPr>
        <w:spacing w:after="0"/>
      </w:pPr>
      <w:r>
        <w:separator/>
      </w:r>
    </w:p>
  </w:endnote>
  <w:endnote w:type="continuationSeparator" w:id="0">
    <w:p w:rsidR="00C42AA4" w:rsidRDefault="00C42AA4">
      <w:pPr>
        <w:spacing w:after="0"/>
      </w:pPr>
      <w:r>
        <w:continuationSeparator/>
      </w:r>
    </w:p>
  </w:endnote>
  <w:endnote w:type="continuationNotice" w:id="1">
    <w:p w:rsidR="00C42AA4" w:rsidRDefault="00C42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AA4" w:rsidRDefault="00C42AA4">
      <w:pPr>
        <w:spacing w:after="0"/>
      </w:pPr>
      <w:r>
        <w:separator/>
      </w:r>
    </w:p>
  </w:footnote>
  <w:footnote w:type="continuationSeparator" w:id="0">
    <w:p w:rsidR="00C42AA4" w:rsidRDefault="00C42AA4">
      <w:pPr>
        <w:spacing w:after="0"/>
      </w:pPr>
      <w:r>
        <w:continuationSeparator/>
      </w:r>
    </w:p>
  </w:footnote>
  <w:footnote w:type="continuationNotice" w:id="1">
    <w:p w:rsidR="00C42AA4" w:rsidRDefault="00C42A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0E" w:rsidRDefault="002C3E0E">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85B"/>
    <w:multiLevelType w:val="hybridMultilevel"/>
    <w:tmpl w:val="4A389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B37591"/>
    <w:multiLevelType w:val="hybridMultilevel"/>
    <w:tmpl w:val="448AF162"/>
    <w:lvl w:ilvl="0" w:tplc="4E22C564">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9860217"/>
    <w:multiLevelType w:val="hybridMultilevel"/>
    <w:tmpl w:val="D856FF08"/>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E70CAE"/>
    <w:multiLevelType w:val="hybridMultilevel"/>
    <w:tmpl w:val="DFF6A300"/>
    <w:lvl w:ilvl="0" w:tplc="1C3C70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85978A8"/>
    <w:multiLevelType w:val="hybridMultilevel"/>
    <w:tmpl w:val="4A065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43D42"/>
    <w:multiLevelType w:val="hybridMultilevel"/>
    <w:tmpl w:val="C10A3AB2"/>
    <w:lvl w:ilvl="0" w:tplc="6AE2F3BA">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1E50D6"/>
    <w:multiLevelType w:val="hybridMultilevel"/>
    <w:tmpl w:val="AD423A66"/>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5"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
  </w:num>
  <w:num w:numId="11">
    <w:abstractNumId w:val="32"/>
  </w:num>
  <w:num w:numId="12">
    <w:abstractNumId w:val="10"/>
  </w:num>
  <w:num w:numId="13">
    <w:abstractNumId w:val="17"/>
  </w:num>
  <w:num w:numId="14">
    <w:abstractNumId w:val="36"/>
  </w:num>
  <w:num w:numId="15">
    <w:abstractNumId w:val="37"/>
  </w:num>
  <w:num w:numId="16">
    <w:abstractNumId w:val="6"/>
  </w:num>
  <w:num w:numId="17">
    <w:abstractNumId w:val="12"/>
  </w:num>
  <w:num w:numId="18">
    <w:abstractNumId w:val="23"/>
  </w:num>
  <w:num w:numId="19">
    <w:abstractNumId w:val="11"/>
  </w:num>
  <w:num w:numId="20">
    <w:abstractNumId w:val="18"/>
  </w:num>
  <w:num w:numId="21">
    <w:abstractNumId w:val="28"/>
  </w:num>
  <w:num w:numId="22">
    <w:abstractNumId w:val="24"/>
  </w:num>
  <w:num w:numId="23">
    <w:abstractNumId w:val="16"/>
  </w:num>
  <w:num w:numId="24">
    <w:abstractNumId w:val="15"/>
  </w:num>
  <w:num w:numId="25">
    <w:abstractNumId w:val="29"/>
  </w:num>
  <w:num w:numId="26">
    <w:abstractNumId w:val="25"/>
  </w:num>
  <w:num w:numId="27">
    <w:abstractNumId w:val="27"/>
  </w:num>
  <w:num w:numId="28">
    <w:abstractNumId w:val="33"/>
  </w:num>
  <w:num w:numId="29">
    <w:abstractNumId w:val="35"/>
  </w:num>
  <w:num w:numId="30">
    <w:abstractNumId w:val="21"/>
  </w:num>
  <w:num w:numId="31">
    <w:abstractNumId w:val="34"/>
  </w:num>
  <w:num w:numId="32">
    <w:abstractNumId w:val="30"/>
  </w:num>
  <w:num w:numId="33">
    <w:abstractNumId w:val="8"/>
  </w:num>
  <w:num w:numId="34">
    <w:abstractNumId w:val="9"/>
  </w:num>
  <w:num w:numId="35">
    <w:abstractNumId w:val="38"/>
  </w:num>
  <w:num w:numId="36">
    <w:abstractNumId w:val="19"/>
  </w:num>
  <w:num w:numId="37">
    <w:abstractNumId w:val="2"/>
  </w:num>
  <w:num w:numId="38">
    <w:abstractNumId w:val="2"/>
  </w:num>
  <w:num w:numId="39">
    <w:abstractNumId w:val="20"/>
  </w:num>
  <w:num w:numId="40">
    <w:abstractNumId w:val="26"/>
  </w:num>
  <w:num w:numId="41">
    <w:abstractNumId w:val="3"/>
  </w:num>
  <w:num w:numId="42">
    <w:abstractNumId w:val="0"/>
  </w:num>
  <w:num w:numId="43">
    <w:abstractNumId w:val="4"/>
  </w:num>
  <w:num w:numId="44">
    <w:abstractNumId w:val="7"/>
  </w:num>
  <w:num w:numId="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A8"/>
    <w:rsid w:val="000554F4"/>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8D2"/>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061"/>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599E"/>
    <w:rsid w:val="000F73C0"/>
    <w:rsid w:val="000F7CF0"/>
    <w:rsid w:val="001013C0"/>
    <w:rsid w:val="00102195"/>
    <w:rsid w:val="0010478B"/>
    <w:rsid w:val="00105513"/>
    <w:rsid w:val="00106747"/>
    <w:rsid w:val="00106FFC"/>
    <w:rsid w:val="001076A9"/>
    <w:rsid w:val="00110795"/>
    <w:rsid w:val="0011084B"/>
    <w:rsid w:val="00110A77"/>
    <w:rsid w:val="0011124C"/>
    <w:rsid w:val="00111312"/>
    <w:rsid w:val="001114B4"/>
    <w:rsid w:val="00111956"/>
    <w:rsid w:val="00111AB0"/>
    <w:rsid w:val="00111B65"/>
    <w:rsid w:val="00111BB3"/>
    <w:rsid w:val="00112536"/>
    <w:rsid w:val="00112E74"/>
    <w:rsid w:val="0011306A"/>
    <w:rsid w:val="00113211"/>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DAC"/>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51A"/>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19D"/>
    <w:rsid w:val="001E03E0"/>
    <w:rsid w:val="001E0729"/>
    <w:rsid w:val="001E112D"/>
    <w:rsid w:val="001E1743"/>
    <w:rsid w:val="001E1F4D"/>
    <w:rsid w:val="001E2D80"/>
    <w:rsid w:val="001E45F1"/>
    <w:rsid w:val="001E4FA4"/>
    <w:rsid w:val="001E6177"/>
    <w:rsid w:val="001E69EF"/>
    <w:rsid w:val="001E7419"/>
    <w:rsid w:val="001E7E0F"/>
    <w:rsid w:val="001F076A"/>
    <w:rsid w:val="001F0A5B"/>
    <w:rsid w:val="001F0A60"/>
    <w:rsid w:val="001F179C"/>
    <w:rsid w:val="001F479A"/>
    <w:rsid w:val="001F59EF"/>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1A5"/>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1AF3"/>
    <w:rsid w:val="002B5728"/>
    <w:rsid w:val="002B607F"/>
    <w:rsid w:val="002C1CDD"/>
    <w:rsid w:val="002C1DE0"/>
    <w:rsid w:val="002C1F9E"/>
    <w:rsid w:val="002C22E6"/>
    <w:rsid w:val="002C25CA"/>
    <w:rsid w:val="002C394F"/>
    <w:rsid w:val="002C3E0E"/>
    <w:rsid w:val="002C430D"/>
    <w:rsid w:val="002C4722"/>
    <w:rsid w:val="002C573C"/>
    <w:rsid w:val="002C5867"/>
    <w:rsid w:val="002C5FD5"/>
    <w:rsid w:val="002C670E"/>
    <w:rsid w:val="002C7F2A"/>
    <w:rsid w:val="002D16B0"/>
    <w:rsid w:val="002D1B35"/>
    <w:rsid w:val="002D1B4F"/>
    <w:rsid w:val="002D25AB"/>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29D"/>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3989"/>
    <w:rsid w:val="0031445D"/>
    <w:rsid w:val="003159F3"/>
    <w:rsid w:val="003162C4"/>
    <w:rsid w:val="0031658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68DD"/>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3E7A"/>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07F"/>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763"/>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487"/>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0AB"/>
    <w:rsid w:val="004A039E"/>
    <w:rsid w:val="004A0E95"/>
    <w:rsid w:val="004A126D"/>
    <w:rsid w:val="004A37FD"/>
    <w:rsid w:val="004A49BE"/>
    <w:rsid w:val="004A4CC8"/>
    <w:rsid w:val="004A5211"/>
    <w:rsid w:val="004A53E3"/>
    <w:rsid w:val="004A5678"/>
    <w:rsid w:val="004A5D6C"/>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1947"/>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4D5"/>
    <w:rsid w:val="0050327B"/>
    <w:rsid w:val="005063B3"/>
    <w:rsid w:val="00507AA3"/>
    <w:rsid w:val="005102D5"/>
    <w:rsid w:val="00510895"/>
    <w:rsid w:val="00511254"/>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388B"/>
    <w:rsid w:val="00554C9F"/>
    <w:rsid w:val="00555D4D"/>
    <w:rsid w:val="0055702A"/>
    <w:rsid w:val="005572CC"/>
    <w:rsid w:val="00557767"/>
    <w:rsid w:val="005610EE"/>
    <w:rsid w:val="0056119B"/>
    <w:rsid w:val="00562102"/>
    <w:rsid w:val="005631E1"/>
    <w:rsid w:val="0056322F"/>
    <w:rsid w:val="0056761B"/>
    <w:rsid w:val="005704EA"/>
    <w:rsid w:val="005738D5"/>
    <w:rsid w:val="00573DD2"/>
    <w:rsid w:val="00575AA1"/>
    <w:rsid w:val="00575B91"/>
    <w:rsid w:val="00576151"/>
    <w:rsid w:val="00576368"/>
    <w:rsid w:val="005764D2"/>
    <w:rsid w:val="00576C3A"/>
    <w:rsid w:val="00580D25"/>
    <w:rsid w:val="00583418"/>
    <w:rsid w:val="005836E8"/>
    <w:rsid w:val="005837DE"/>
    <w:rsid w:val="00584799"/>
    <w:rsid w:val="00585490"/>
    <w:rsid w:val="00585964"/>
    <w:rsid w:val="005861C9"/>
    <w:rsid w:val="00586B0B"/>
    <w:rsid w:val="00587308"/>
    <w:rsid w:val="00587CFE"/>
    <w:rsid w:val="00590323"/>
    <w:rsid w:val="00592401"/>
    <w:rsid w:val="00592642"/>
    <w:rsid w:val="005939B5"/>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86D"/>
    <w:rsid w:val="005B3D44"/>
    <w:rsid w:val="005B5DB7"/>
    <w:rsid w:val="005B6285"/>
    <w:rsid w:val="005B718D"/>
    <w:rsid w:val="005B7538"/>
    <w:rsid w:val="005C0A57"/>
    <w:rsid w:val="005C0C42"/>
    <w:rsid w:val="005C187E"/>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696"/>
    <w:rsid w:val="005E69DE"/>
    <w:rsid w:val="005E6EFD"/>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0827"/>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4F4"/>
    <w:rsid w:val="006278EE"/>
    <w:rsid w:val="006279ED"/>
    <w:rsid w:val="00627D4A"/>
    <w:rsid w:val="00630E6B"/>
    <w:rsid w:val="00631363"/>
    <w:rsid w:val="00632015"/>
    <w:rsid w:val="006320AE"/>
    <w:rsid w:val="006321BB"/>
    <w:rsid w:val="00633379"/>
    <w:rsid w:val="00633493"/>
    <w:rsid w:val="00633AD1"/>
    <w:rsid w:val="00633C98"/>
    <w:rsid w:val="00634944"/>
    <w:rsid w:val="00634965"/>
    <w:rsid w:val="00634D36"/>
    <w:rsid w:val="00634D48"/>
    <w:rsid w:val="00635722"/>
    <w:rsid w:val="00636626"/>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548"/>
    <w:rsid w:val="00675B97"/>
    <w:rsid w:val="006768DF"/>
    <w:rsid w:val="0067765C"/>
    <w:rsid w:val="00677B0B"/>
    <w:rsid w:val="006805F8"/>
    <w:rsid w:val="0068175B"/>
    <w:rsid w:val="006817B4"/>
    <w:rsid w:val="006818F5"/>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C66"/>
    <w:rsid w:val="006A05A5"/>
    <w:rsid w:val="006A0CBB"/>
    <w:rsid w:val="006A48AC"/>
    <w:rsid w:val="006A4A7F"/>
    <w:rsid w:val="006A6E83"/>
    <w:rsid w:val="006A7F66"/>
    <w:rsid w:val="006B0442"/>
    <w:rsid w:val="006B04EF"/>
    <w:rsid w:val="006B1267"/>
    <w:rsid w:val="006B1C0C"/>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2400"/>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15"/>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64C8"/>
    <w:rsid w:val="00797130"/>
    <w:rsid w:val="00797465"/>
    <w:rsid w:val="00797890"/>
    <w:rsid w:val="00797C3B"/>
    <w:rsid w:val="007A0429"/>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5B86"/>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A9E"/>
    <w:rsid w:val="007F0B3F"/>
    <w:rsid w:val="007F0BBB"/>
    <w:rsid w:val="007F1ECB"/>
    <w:rsid w:val="007F249F"/>
    <w:rsid w:val="007F2C04"/>
    <w:rsid w:val="007F3BE3"/>
    <w:rsid w:val="007F3CE2"/>
    <w:rsid w:val="007F47B2"/>
    <w:rsid w:val="007F4FA6"/>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50F"/>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45A"/>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6E4"/>
    <w:rsid w:val="008809D5"/>
    <w:rsid w:val="00880DC8"/>
    <w:rsid w:val="0088483A"/>
    <w:rsid w:val="00885DFA"/>
    <w:rsid w:val="00886054"/>
    <w:rsid w:val="00887FA8"/>
    <w:rsid w:val="00890E6D"/>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AB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0B58"/>
    <w:rsid w:val="008F15C7"/>
    <w:rsid w:val="008F18EF"/>
    <w:rsid w:val="008F1C52"/>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1FE8"/>
    <w:rsid w:val="009156E7"/>
    <w:rsid w:val="009168DE"/>
    <w:rsid w:val="00916A27"/>
    <w:rsid w:val="00921225"/>
    <w:rsid w:val="00921478"/>
    <w:rsid w:val="00921C43"/>
    <w:rsid w:val="0092251F"/>
    <w:rsid w:val="009236DA"/>
    <w:rsid w:val="00923A06"/>
    <w:rsid w:val="00924A1A"/>
    <w:rsid w:val="00924A2C"/>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1B0"/>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957"/>
    <w:rsid w:val="009C6971"/>
    <w:rsid w:val="009C709F"/>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E072E"/>
    <w:rsid w:val="009E0F48"/>
    <w:rsid w:val="009E13FA"/>
    <w:rsid w:val="009E23E5"/>
    <w:rsid w:val="009E2D98"/>
    <w:rsid w:val="009E3581"/>
    <w:rsid w:val="009E4890"/>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2F8D"/>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2096"/>
    <w:rsid w:val="00AC3991"/>
    <w:rsid w:val="00AC49CD"/>
    <w:rsid w:val="00AC4A04"/>
    <w:rsid w:val="00AC5600"/>
    <w:rsid w:val="00AC5C52"/>
    <w:rsid w:val="00AC5CD8"/>
    <w:rsid w:val="00AC7DF8"/>
    <w:rsid w:val="00AD004E"/>
    <w:rsid w:val="00AD044C"/>
    <w:rsid w:val="00AD0869"/>
    <w:rsid w:val="00AD19DE"/>
    <w:rsid w:val="00AD1B3B"/>
    <w:rsid w:val="00AD2492"/>
    <w:rsid w:val="00AD2E1B"/>
    <w:rsid w:val="00AD44D3"/>
    <w:rsid w:val="00AD61A8"/>
    <w:rsid w:val="00AD6452"/>
    <w:rsid w:val="00AD652A"/>
    <w:rsid w:val="00AD6E33"/>
    <w:rsid w:val="00AE0377"/>
    <w:rsid w:val="00AE0616"/>
    <w:rsid w:val="00AE0DC5"/>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07A0F"/>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26E4E"/>
    <w:rsid w:val="00B30C0B"/>
    <w:rsid w:val="00B32116"/>
    <w:rsid w:val="00B3277E"/>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48B"/>
    <w:rsid w:val="00B57A45"/>
    <w:rsid w:val="00B60057"/>
    <w:rsid w:val="00B600AC"/>
    <w:rsid w:val="00B60A77"/>
    <w:rsid w:val="00B62E85"/>
    <w:rsid w:val="00B63DEC"/>
    <w:rsid w:val="00B7074B"/>
    <w:rsid w:val="00B71AFF"/>
    <w:rsid w:val="00B71E86"/>
    <w:rsid w:val="00B724AF"/>
    <w:rsid w:val="00B7298C"/>
    <w:rsid w:val="00B72D64"/>
    <w:rsid w:val="00B73AB5"/>
    <w:rsid w:val="00B7438C"/>
    <w:rsid w:val="00B74F43"/>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567"/>
    <w:rsid w:val="00BA6849"/>
    <w:rsid w:val="00BA6B5B"/>
    <w:rsid w:val="00BB0253"/>
    <w:rsid w:val="00BB1B41"/>
    <w:rsid w:val="00BB2F16"/>
    <w:rsid w:val="00BB3153"/>
    <w:rsid w:val="00BB3566"/>
    <w:rsid w:val="00BB35F0"/>
    <w:rsid w:val="00BB4300"/>
    <w:rsid w:val="00BB4D3C"/>
    <w:rsid w:val="00BB64B2"/>
    <w:rsid w:val="00BB75E2"/>
    <w:rsid w:val="00BB7BDE"/>
    <w:rsid w:val="00BB7F02"/>
    <w:rsid w:val="00BC00F9"/>
    <w:rsid w:val="00BC091F"/>
    <w:rsid w:val="00BC097A"/>
    <w:rsid w:val="00BC0C4E"/>
    <w:rsid w:val="00BC159D"/>
    <w:rsid w:val="00BC2212"/>
    <w:rsid w:val="00BC2429"/>
    <w:rsid w:val="00BC33DB"/>
    <w:rsid w:val="00BC4566"/>
    <w:rsid w:val="00BC6948"/>
    <w:rsid w:val="00BC74E6"/>
    <w:rsid w:val="00BC77DA"/>
    <w:rsid w:val="00BC7F00"/>
    <w:rsid w:val="00BD00F4"/>
    <w:rsid w:val="00BD1197"/>
    <w:rsid w:val="00BD1E6F"/>
    <w:rsid w:val="00BD2C3C"/>
    <w:rsid w:val="00BD37AB"/>
    <w:rsid w:val="00BD4491"/>
    <w:rsid w:val="00BD53A9"/>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6C5"/>
    <w:rsid w:val="00C01802"/>
    <w:rsid w:val="00C023A3"/>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4F66"/>
    <w:rsid w:val="00C25736"/>
    <w:rsid w:val="00C25BCD"/>
    <w:rsid w:val="00C2635E"/>
    <w:rsid w:val="00C27E8B"/>
    <w:rsid w:val="00C27F3B"/>
    <w:rsid w:val="00C30887"/>
    <w:rsid w:val="00C33AAC"/>
    <w:rsid w:val="00C33CB5"/>
    <w:rsid w:val="00C33FBB"/>
    <w:rsid w:val="00C34106"/>
    <w:rsid w:val="00C3546E"/>
    <w:rsid w:val="00C35CFA"/>
    <w:rsid w:val="00C37113"/>
    <w:rsid w:val="00C40A22"/>
    <w:rsid w:val="00C4156D"/>
    <w:rsid w:val="00C41ADF"/>
    <w:rsid w:val="00C42523"/>
    <w:rsid w:val="00C42638"/>
    <w:rsid w:val="00C4288D"/>
    <w:rsid w:val="00C42AA4"/>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755CC"/>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39BF"/>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D7A80"/>
    <w:rsid w:val="00CE0E96"/>
    <w:rsid w:val="00CE19A2"/>
    <w:rsid w:val="00CE2124"/>
    <w:rsid w:val="00CE325C"/>
    <w:rsid w:val="00CE350D"/>
    <w:rsid w:val="00CE407B"/>
    <w:rsid w:val="00CE4163"/>
    <w:rsid w:val="00CE4282"/>
    <w:rsid w:val="00CE539C"/>
    <w:rsid w:val="00CE5CF6"/>
    <w:rsid w:val="00CE65FA"/>
    <w:rsid w:val="00CE7F02"/>
    <w:rsid w:val="00CF06F3"/>
    <w:rsid w:val="00CF0CB6"/>
    <w:rsid w:val="00CF11C7"/>
    <w:rsid w:val="00CF1B85"/>
    <w:rsid w:val="00CF22C0"/>
    <w:rsid w:val="00CF2709"/>
    <w:rsid w:val="00CF3459"/>
    <w:rsid w:val="00CF34BC"/>
    <w:rsid w:val="00CF35A1"/>
    <w:rsid w:val="00CF3C3A"/>
    <w:rsid w:val="00CF4314"/>
    <w:rsid w:val="00CF7BE2"/>
    <w:rsid w:val="00CF7FA4"/>
    <w:rsid w:val="00D00415"/>
    <w:rsid w:val="00D00AB8"/>
    <w:rsid w:val="00D00E41"/>
    <w:rsid w:val="00D01DBE"/>
    <w:rsid w:val="00D04B3F"/>
    <w:rsid w:val="00D05D8C"/>
    <w:rsid w:val="00D10A4D"/>
    <w:rsid w:val="00D10A90"/>
    <w:rsid w:val="00D12DD3"/>
    <w:rsid w:val="00D13F25"/>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61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217"/>
    <w:rsid w:val="00D91468"/>
    <w:rsid w:val="00D927B0"/>
    <w:rsid w:val="00D927FD"/>
    <w:rsid w:val="00D93843"/>
    <w:rsid w:val="00D94134"/>
    <w:rsid w:val="00D94358"/>
    <w:rsid w:val="00D95597"/>
    <w:rsid w:val="00D959DF"/>
    <w:rsid w:val="00D969AA"/>
    <w:rsid w:val="00D9761B"/>
    <w:rsid w:val="00D97FC3"/>
    <w:rsid w:val="00DA180D"/>
    <w:rsid w:val="00DA268C"/>
    <w:rsid w:val="00DA31CD"/>
    <w:rsid w:val="00DA4887"/>
    <w:rsid w:val="00DA53B2"/>
    <w:rsid w:val="00DA5661"/>
    <w:rsid w:val="00DA650B"/>
    <w:rsid w:val="00DA6D1C"/>
    <w:rsid w:val="00DA70EA"/>
    <w:rsid w:val="00DA79A9"/>
    <w:rsid w:val="00DA7CE5"/>
    <w:rsid w:val="00DA7E76"/>
    <w:rsid w:val="00DB266C"/>
    <w:rsid w:val="00DB2B24"/>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3D5D"/>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3836"/>
    <w:rsid w:val="00E441A5"/>
    <w:rsid w:val="00E44659"/>
    <w:rsid w:val="00E44EE7"/>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1E3"/>
    <w:rsid w:val="00EA0DC8"/>
    <w:rsid w:val="00EA15BC"/>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486C"/>
    <w:rsid w:val="00EE567A"/>
    <w:rsid w:val="00EE68DE"/>
    <w:rsid w:val="00EE6A2A"/>
    <w:rsid w:val="00EE7C11"/>
    <w:rsid w:val="00EF054A"/>
    <w:rsid w:val="00EF08FC"/>
    <w:rsid w:val="00EF23AA"/>
    <w:rsid w:val="00EF2BCD"/>
    <w:rsid w:val="00EF31E8"/>
    <w:rsid w:val="00EF3423"/>
    <w:rsid w:val="00EF38B8"/>
    <w:rsid w:val="00EF3AE7"/>
    <w:rsid w:val="00EF4980"/>
    <w:rsid w:val="00EF4B84"/>
    <w:rsid w:val="00EF535B"/>
    <w:rsid w:val="00EF5E6B"/>
    <w:rsid w:val="00EF646C"/>
    <w:rsid w:val="00EF7553"/>
    <w:rsid w:val="00EF77AD"/>
    <w:rsid w:val="00EF7D8B"/>
    <w:rsid w:val="00F0140E"/>
    <w:rsid w:val="00F031D3"/>
    <w:rsid w:val="00F03224"/>
    <w:rsid w:val="00F03C12"/>
    <w:rsid w:val="00F03D59"/>
    <w:rsid w:val="00F04CD9"/>
    <w:rsid w:val="00F078F6"/>
    <w:rsid w:val="00F0799C"/>
    <w:rsid w:val="00F10DD6"/>
    <w:rsid w:val="00F1186A"/>
    <w:rsid w:val="00F11F0C"/>
    <w:rsid w:val="00F11FA3"/>
    <w:rsid w:val="00F12DB9"/>
    <w:rsid w:val="00F13428"/>
    <w:rsid w:val="00F1373A"/>
    <w:rsid w:val="00F14337"/>
    <w:rsid w:val="00F1488B"/>
    <w:rsid w:val="00F149B9"/>
    <w:rsid w:val="00F15962"/>
    <w:rsid w:val="00F1596E"/>
    <w:rsid w:val="00F164FB"/>
    <w:rsid w:val="00F1681C"/>
    <w:rsid w:val="00F16F02"/>
    <w:rsid w:val="00F1762C"/>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D4A"/>
    <w:rsid w:val="00F60460"/>
    <w:rsid w:val="00F608B1"/>
    <w:rsid w:val="00F62084"/>
    <w:rsid w:val="00F622DB"/>
    <w:rsid w:val="00F62598"/>
    <w:rsid w:val="00F628A2"/>
    <w:rsid w:val="00F62DC6"/>
    <w:rsid w:val="00F636A0"/>
    <w:rsid w:val="00F64A78"/>
    <w:rsid w:val="00F663DF"/>
    <w:rsid w:val="00F702AD"/>
    <w:rsid w:val="00F7132D"/>
    <w:rsid w:val="00F7264F"/>
    <w:rsid w:val="00F7406D"/>
    <w:rsid w:val="00F75084"/>
    <w:rsid w:val="00F75B1A"/>
    <w:rsid w:val="00F803F5"/>
    <w:rsid w:val="00F80686"/>
    <w:rsid w:val="00F80712"/>
    <w:rsid w:val="00F8114D"/>
    <w:rsid w:val="00F82B43"/>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0E51"/>
    <w:rsid w:val="00FA154A"/>
    <w:rsid w:val="00FA16EE"/>
    <w:rsid w:val="00FA3847"/>
    <w:rsid w:val="00FA39BE"/>
    <w:rsid w:val="00FA3E46"/>
    <w:rsid w:val="00FA49A7"/>
    <w:rsid w:val="00FA5459"/>
    <w:rsid w:val="00FA586A"/>
    <w:rsid w:val="00FA5DEC"/>
    <w:rsid w:val="00FA7093"/>
    <w:rsid w:val="00FA767B"/>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87DF39-D2B7-468D-B641-4ABB956CF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751984">
      <w:bodyDiv w:val="1"/>
      <w:marLeft w:val="0"/>
      <w:marRight w:val="0"/>
      <w:marTop w:val="0"/>
      <w:marBottom w:val="0"/>
      <w:divBdr>
        <w:top w:val="none" w:sz="0" w:space="0" w:color="auto"/>
        <w:left w:val="none" w:sz="0" w:space="0" w:color="auto"/>
        <w:bottom w:val="none" w:sz="0" w:space="0" w:color="auto"/>
        <w:right w:val="none" w:sz="0" w:space="0" w:color="auto"/>
      </w:divBdr>
      <w:divsChild>
        <w:div w:id="369690268">
          <w:marLeft w:val="475"/>
          <w:marRight w:val="0"/>
          <w:marTop w:val="16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552234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921019">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17BAB13-5120-460D-A35B-61D3ABF6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1183</Words>
  <Characters>6175</Characters>
  <Application>Microsoft Office Word</Application>
  <DocSecurity>0</DocSecurity>
  <Lines>160</Lines>
  <Paragraphs>93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8</cp:revision>
  <cp:lastPrinted>2016-08-05T18:54:00Z</cp:lastPrinted>
  <dcterms:created xsi:type="dcterms:W3CDTF">2019-03-29T17:56:00Z</dcterms:created>
  <dcterms:modified xsi:type="dcterms:W3CDTF">2019-04-01T03:39:00Z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&amp; STANDARDS GROUP</vt:lpwstr>
  </property>
  <property fmtid="{D5CDD505-2E9C-101B-9397-08002B2CF9AE}" pid="22" name="CTP_TimeStamp">
    <vt:lpwstr>2019-04-01 03:39:24Z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